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BEF51" w14:textId="3525E19B" w:rsidR="00292B1A" w:rsidRPr="009143F3" w:rsidRDefault="00292B1A" w:rsidP="00CB4B51">
      <w:pPr>
        <w:pStyle w:val="Heading1"/>
      </w:pPr>
      <w:r w:rsidRPr="009143F3">
        <w:t xml:space="preserve">Tax </w:t>
      </w:r>
      <w:r w:rsidRPr="00CB4B51">
        <w:t>Implications</w:t>
      </w:r>
      <w:r w:rsidRPr="009143F3">
        <w:t xml:space="preserve"> for Temporary </w:t>
      </w:r>
      <w:r w:rsidR="00EC7EB8" w:rsidRPr="009143F3">
        <w:t>Assignment</w:t>
      </w:r>
      <w:r w:rsidRPr="009143F3">
        <w:t xml:space="preserve"> vs Permanent Relocations</w:t>
      </w:r>
      <w:r w:rsidR="00753642" w:rsidRPr="009143F3">
        <w:t xml:space="preserve"> for Harvard Employees or People </w:t>
      </w:r>
      <w:r w:rsidR="00F26A0A" w:rsidRPr="009143F3">
        <w:t>P</w:t>
      </w:r>
      <w:r w:rsidR="001A0DE2" w:rsidRPr="009143F3">
        <w:t>e</w:t>
      </w:r>
      <w:r w:rsidR="00F26A0A" w:rsidRPr="009143F3">
        <w:t>r</w:t>
      </w:r>
      <w:r w:rsidR="001A0DE2" w:rsidRPr="009143F3">
        <w:t>forming</w:t>
      </w:r>
      <w:r w:rsidR="00753642" w:rsidRPr="009143F3">
        <w:t xml:space="preserve"> Work on Behalf of Harvard</w:t>
      </w:r>
    </w:p>
    <w:p w14:paraId="113BEF52" w14:textId="09A58D6F" w:rsidR="00292B1A" w:rsidRPr="00E563CA" w:rsidRDefault="00292B1A" w:rsidP="007223FE">
      <w:pPr>
        <w:rPr>
          <w:sz w:val="21"/>
          <w:szCs w:val="21"/>
        </w:rPr>
      </w:pPr>
      <w:r w:rsidRPr="00E563CA">
        <w:rPr>
          <w:sz w:val="21"/>
          <w:szCs w:val="21"/>
        </w:rPr>
        <w:t>There are different IRS regulations regarding expenses for individuals moving for temporary (one year</w:t>
      </w:r>
      <w:r w:rsidR="00B65A69" w:rsidRPr="00E563CA">
        <w:rPr>
          <w:sz w:val="21"/>
          <w:szCs w:val="21"/>
        </w:rPr>
        <w:t xml:space="preserve"> or less</w:t>
      </w:r>
      <w:r w:rsidRPr="00E563CA">
        <w:rPr>
          <w:sz w:val="21"/>
          <w:szCs w:val="21"/>
        </w:rPr>
        <w:t>) or permanent (grea</w:t>
      </w:r>
      <w:r w:rsidR="00684FAF" w:rsidRPr="00E563CA">
        <w:rPr>
          <w:sz w:val="21"/>
          <w:szCs w:val="21"/>
        </w:rPr>
        <w:t>ter than one year) appointments</w:t>
      </w:r>
      <w:r w:rsidR="00F231B5" w:rsidRPr="00E563CA">
        <w:rPr>
          <w:sz w:val="21"/>
          <w:szCs w:val="21"/>
        </w:rPr>
        <w:t xml:space="preserve"> at Harvard</w:t>
      </w:r>
      <w:r w:rsidR="00684FAF" w:rsidRPr="00E563CA">
        <w:rPr>
          <w:sz w:val="21"/>
          <w:szCs w:val="21"/>
        </w:rPr>
        <w:t>. These individuals</w:t>
      </w:r>
      <w:r w:rsidR="00F231B5" w:rsidRPr="00E563CA">
        <w:rPr>
          <w:sz w:val="21"/>
          <w:szCs w:val="21"/>
        </w:rPr>
        <w:t xml:space="preserve"> must be</w:t>
      </w:r>
      <w:r w:rsidR="00684FAF" w:rsidRPr="00E563CA">
        <w:rPr>
          <w:sz w:val="21"/>
          <w:szCs w:val="21"/>
        </w:rPr>
        <w:t xml:space="preserve"> completing work on behalf of Harvar</w:t>
      </w:r>
      <w:r w:rsidR="00F231B5" w:rsidRPr="00E563CA">
        <w:rPr>
          <w:sz w:val="21"/>
          <w:szCs w:val="21"/>
        </w:rPr>
        <w:t>d;</w:t>
      </w:r>
      <w:r w:rsidR="00042034" w:rsidRPr="00E563CA">
        <w:rPr>
          <w:sz w:val="21"/>
          <w:szCs w:val="21"/>
        </w:rPr>
        <w:t xml:space="preserve"> the below chart does not apply to</w:t>
      </w:r>
      <w:r w:rsidR="00F231B5" w:rsidRPr="00E563CA">
        <w:rPr>
          <w:sz w:val="21"/>
          <w:szCs w:val="21"/>
        </w:rPr>
        <w:t xml:space="preserve"> i</w:t>
      </w:r>
      <w:r w:rsidR="00684FAF" w:rsidRPr="00E563CA">
        <w:rPr>
          <w:sz w:val="21"/>
          <w:szCs w:val="21"/>
        </w:rPr>
        <w:t xml:space="preserve">ndividuals </w:t>
      </w:r>
      <w:r w:rsidR="00A43F36" w:rsidRPr="00E563CA">
        <w:rPr>
          <w:sz w:val="21"/>
          <w:szCs w:val="21"/>
        </w:rPr>
        <w:t>who incur expenses for</w:t>
      </w:r>
      <w:r w:rsidR="00684FAF" w:rsidRPr="00E563CA">
        <w:rPr>
          <w:sz w:val="21"/>
          <w:szCs w:val="21"/>
        </w:rPr>
        <w:t xml:space="preserve"> their own research or professional development.</w:t>
      </w:r>
      <w:r w:rsidR="00B011E7" w:rsidRPr="00E563CA">
        <w:rPr>
          <w:sz w:val="21"/>
          <w:szCs w:val="21"/>
        </w:rPr>
        <w:t xml:space="preserve"> Generally, the information provided </w:t>
      </w:r>
      <w:r w:rsidR="00E61AE9" w:rsidRPr="00E563CA">
        <w:rPr>
          <w:sz w:val="21"/>
          <w:szCs w:val="21"/>
        </w:rPr>
        <w:t xml:space="preserve">in this section </w:t>
      </w:r>
      <w:r w:rsidR="00B011E7" w:rsidRPr="00E563CA">
        <w:rPr>
          <w:sz w:val="21"/>
          <w:szCs w:val="21"/>
        </w:rPr>
        <w:t xml:space="preserve">below </w:t>
      </w:r>
      <w:r w:rsidR="00434181" w:rsidRPr="00E563CA">
        <w:rPr>
          <w:sz w:val="21"/>
          <w:szCs w:val="21"/>
        </w:rPr>
        <w:t xml:space="preserve">is </w:t>
      </w:r>
      <w:r w:rsidR="00B011E7" w:rsidRPr="00E563CA">
        <w:rPr>
          <w:sz w:val="21"/>
          <w:szCs w:val="21"/>
        </w:rPr>
        <w:t>co</w:t>
      </w:r>
      <w:r w:rsidR="00017666" w:rsidRPr="00E563CA">
        <w:rPr>
          <w:sz w:val="21"/>
          <w:szCs w:val="21"/>
        </w:rPr>
        <w:t>mpiled from IRS Publication 463</w:t>
      </w:r>
      <w:r w:rsidR="00294B35" w:rsidRPr="00E563CA">
        <w:rPr>
          <w:sz w:val="21"/>
          <w:szCs w:val="21"/>
        </w:rPr>
        <w:t xml:space="preserve"> and 521</w:t>
      </w:r>
      <w:r w:rsidR="00BC77BC" w:rsidRPr="00E563CA">
        <w:rPr>
          <w:sz w:val="21"/>
          <w:szCs w:val="21"/>
        </w:rPr>
        <w:t xml:space="preserve">. Not every scenario is addressed, where unusual circumstances arise, contact your local Finance Office or </w:t>
      </w:r>
      <w:hyperlink r:id="rId11" w:history="1">
        <w:r w:rsidR="00BC77BC" w:rsidRPr="00E563CA">
          <w:rPr>
            <w:rStyle w:val="Hyperlink"/>
            <w:sz w:val="21"/>
            <w:szCs w:val="21"/>
          </w:rPr>
          <w:t xml:space="preserve">Tax </w:t>
        </w:r>
        <w:r w:rsidR="00AF086D" w:rsidRPr="00E563CA">
          <w:rPr>
            <w:rStyle w:val="Hyperlink"/>
            <w:sz w:val="21"/>
            <w:szCs w:val="21"/>
          </w:rPr>
          <w:t xml:space="preserve">Compliance </w:t>
        </w:r>
        <w:r w:rsidR="00BC77BC" w:rsidRPr="00E563CA">
          <w:rPr>
            <w:rStyle w:val="Hyperlink"/>
            <w:sz w:val="21"/>
            <w:szCs w:val="21"/>
          </w:rPr>
          <w:t>Office</w:t>
        </w:r>
      </w:hyperlink>
      <w:r w:rsidR="00BC77BC" w:rsidRPr="00E563CA">
        <w:rPr>
          <w:sz w:val="21"/>
          <w:szCs w:val="21"/>
        </w:rPr>
        <w:t xml:space="preserve"> for guidance.</w:t>
      </w:r>
      <w:r w:rsidR="00AA1150" w:rsidRPr="00E563CA">
        <w:rPr>
          <w:sz w:val="21"/>
          <w:szCs w:val="21"/>
        </w:rPr>
        <w:t xml:space="preserve"> Additional policies and guidance may be found at </w:t>
      </w:r>
      <w:hyperlink r:id="rId12" w:history="1">
        <w:r w:rsidR="00AA1150" w:rsidRPr="00E563CA">
          <w:rPr>
            <w:rStyle w:val="Hyperlink"/>
            <w:sz w:val="21"/>
            <w:szCs w:val="21"/>
          </w:rPr>
          <w:t>Financial Policy Office</w:t>
        </w:r>
      </w:hyperlink>
      <w:r w:rsidR="00AA1150" w:rsidRPr="00E563CA">
        <w:rPr>
          <w:sz w:val="21"/>
          <w:szCs w:val="21"/>
        </w:rPr>
        <w:t>.</w:t>
      </w:r>
    </w:p>
    <w:p w14:paraId="287811EE" w14:textId="77777777" w:rsidR="00D17FCD" w:rsidRPr="00E563CA" w:rsidRDefault="00D17FCD" w:rsidP="00D17FCD">
      <w:pPr>
        <w:rPr>
          <w:rFonts w:cstheme="minorHAnsi"/>
          <w:sz w:val="4"/>
          <w:szCs w:val="4"/>
        </w:rPr>
      </w:pPr>
    </w:p>
    <w:p w14:paraId="398E6949" w14:textId="497D5BEA" w:rsidR="00D61BAA" w:rsidRPr="00E563CA" w:rsidRDefault="00D83913" w:rsidP="007223FE">
      <w:pPr>
        <w:rPr>
          <w:rFonts w:asciiTheme="minorHAnsi" w:hAnsiTheme="minorHAnsi" w:cstheme="minorHAnsi"/>
          <w:sz w:val="21"/>
          <w:szCs w:val="21"/>
        </w:rPr>
      </w:pPr>
      <w:r w:rsidRPr="00E563CA">
        <w:rPr>
          <w:rFonts w:asciiTheme="minorHAnsi" w:hAnsiTheme="minorHAnsi" w:cstheme="minorHAnsi"/>
          <w:sz w:val="21"/>
          <w:szCs w:val="21"/>
        </w:rPr>
        <w:t xml:space="preserve">Generally, </w:t>
      </w:r>
      <w:r w:rsidR="00A81DBF" w:rsidRPr="00E563CA">
        <w:rPr>
          <w:rFonts w:asciiTheme="minorHAnsi" w:hAnsiTheme="minorHAnsi" w:cstheme="minorHAnsi"/>
          <w:sz w:val="21"/>
          <w:szCs w:val="21"/>
        </w:rPr>
        <w:t>regular commuting expenses are considered personal expenses and cannot be paid or reimbursed as a business expense</w:t>
      </w:r>
      <w:r w:rsidR="00A81DBF" w:rsidRPr="00E563CA">
        <w:rPr>
          <w:rFonts w:asciiTheme="minorHAnsi" w:hAnsiTheme="minorHAnsi" w:cstheme="minorHAnsi"/>
          <w:sz w:val="21"/>
          <w:szCs w:val="21"/>
          <w:shd w:val="clear" w:color="auto" w:fill="FAF9F8"/>
        </w:rPr>
        <w:t>.</w:t>
      </w:r>
      <w:r w:rsidR="00A81DBF" w:rsidRPr="00E563CA">
        <w:rPr>
          <w:rFonts w:asciiTheme="minorHAnsi" w:hAnsiTheme="minorHAnsi" w:cstheme="minorHAnsi"/>
          <w:sz w:val="21"/>
          <w:szCs w:val="21"/>
        </w:rPr>
        <w:t xml:space="preserve"> </w:t>
      </w:r>
      <w:r w:rsidRPr="00E563CA">
        <w:rPr>
          <w:rFonts w:asciiTheme="minorHAnsi" w:hAnsiTheme="minorHAnsi" w:cstheme="minorHAnsi"/>
          <w:sz w:val="21"/>
          <w:szCs w:val="21"/>
        </w:rPr>
        <w:t xml:space="preserve">See Harvard’s </w:t>
      </w:r>
      <w:hyperlink r:id="rId13" w:history="1">
        <w:r w:rsidRPr="00E563CA">
          <w:rPr>
            <w:rStyle w:val="Hyperlink"/>
            <w:rFonts w:cstheme="minorHAnsi"/>
            <w:sz w:val="21"/>
            <w:szCs w:val="21"/>
          </w:rPr>
          <w:t>Business Expense Reimbursement Policy</w:t>
        </w:r>
      </w:hyperlink>
      <w:r w:rsidRPr="00E563CA">
        <w:rPr>
          <w:rStyle w:val="Hyperlink"/>
          <w:rFonts w:cstheme="minorHAnsi"/>
          <w:sz w:val="21"/>
          <w:szCs w:val="21"/>
        </w:rPr>
        <w:t xml:space="preserve"> and Addendum</w:t>
      </w:r>
      <w:r w:rsidRPr="00E563CA">
        <w:rPr>
          <w:rFonts w:asciiTheme="minorHAnsi" w:hAnsiTheme="minorHAnsi" w:cstheme="minorHAnsi"/>
          <w:sz w:val="21"/>
          <w:szCs w:val="21"/>
        </w:rPr>
        <w:t xml:space="preserve"> for additional details.</w:t>
      </w:r>
    </w:p>
    <w:tbl>
      <w:tblPr>
        <w:tblStyle w:val="TableGrid"/>
        <w:tblW w:w="18895" w:type="dxa"/>
        <w:tblLook w:val="04A0" w:firstRow="1" w:lastRow="0" w:firstColumn="1" w:lastColumn="0" w:noHBand="0" w:noVBand="1"/>
      </w:tblPr>
      <w:tblGrid>
        <w:gridCol w:w="2335"/>
        <w:gridCol w:w="3960"/>
        <w:gridCol w:w="6390"/>
        <w:gridCol w:w="6210"/>
      </w:tblGrid>
      <w:tr w:rsidR="009143F3" w:rsidRPr="009143F3" w14:paraId="113BEF57" w14:textId="77777777" w:rsidTr="000A7163">
        <w:trPr>
          <w:cantSplit/>
        </w:trPr>
        <w:tc>
          <w:tcPr>
            <w:tcW w:w="2335" w:type="dxa"/>
          </w:tcPr>
          <w:p w14:paraId="113BEF53" w14:textId="77777777" w:rsidR="00292B1A" w:rsidRPr="009143F3" w:rsidRDefault="00EC7EB8" w:rsidP="00ED4F63">
            <w:pPr>
              <w:jc w:val="center"/>
              <w:rPr>
                <w:rFonts w:cstheme="minorHAnsi"/>
                <w:b/>
              </w:rPr>
            </w:pPr>
            <w:r w:rsidRPr="009143F3">
              <w:rPr>
                <w:rFonts w:cstheme="minorHAnsi"/>
                <w:b/>
              </w:rPr>
              <w:t>Assignment</w:t>
            </w:r>
            <w:r w:rsidR="00292B1A" w:rsidRPr="009143F3">
              <w:rPr>
                <w:rFonts w:cstheme="minorHAnsi"/>
                <w:b/>
              </w:rPr>
              <w:t xml:space="preserve"> Type</w:t>
            </w:r>
          </w:p>
        </w:tc>
        <w:tc>
          <w:tcPr>
            <w:tcW w:w="3960" w:type="dxa"/>
          </w:tcPr>
          <w:p w14:paraId="113BEF54" w14:textId="3D5BDF5C" w:rsidR="00292B1A" w:rsidRPr="009143F3" w:rsidRDefault="00292B1A" w:rsidP="00ED4F63">
            <w:pPr>
              <w:jc w:val="center"/>
              <w:rPr>
                <w:rFonts w:cstheme="minorHAnsi"/>
                <w:b/>
              </w:rPr>
            </w:pPr>
            <w:r w:rsidRPr="009143F3">
              <w:rPr>
                <w:rFonts w:cstheme="minorHAnsi"/>
                <w:b/>
              </w:rPr>
              <w:t>Definition</w:t>
            </w:r>
          </w:p>
        </w:tc>
        <w:tc>
          <w:tcPr>
            <w:tcW w:w="6390" w:type="dxa"/>
          </w:tcPr>
          <w:p w14:paraId="113BEF55" w14:textId="77777777" w:rsidR="00292B1A" w:rsidRPr="009143F3" w:rsidRDefault="00292B1A" w:rsidP="00ED4F63">
            <w:pPr>
              <w:jc w:val="center"/>
              <w:rPr>
                <w:rFonts w:cstheme="minorHAnsi"/>
                <w:b/>
              </w:rPr>
            </w:pPr>
            <w:r w:rsidRPr="009143F3">
              <w:rPr>
                <w:rFonts w:cstheme="minorHAnsi"/>
                <w:b/>
              </w:rPr>
              <w:t>Employment Period with Some Examples</w:t>
            </w:r>
          </w:p>
        </w:tc>
        <w:tc>
          <w:tcPr>
            <w:tcW w:w="6210" w:type="dxa"/>
          </w:tcPr>
          <w:p w14:paraId="113BEF56" w14:textId="77777777" w:rsidR="00292B1A" w:rsidRPr="009143F3" w:rsidRDefault="00292B1A" w:rsidP="00ED4F63">
            <w:pPr>
              <w:jc w:val="center"/>
              <w:rPr>
                <w:rFonts w:cstheme="minorHAnsi"/>
                <w:b/>
              </w:rPr>
            </w:pPr>
            <w:r w:rsidRPr="009143F3">
              <w:rPr>
                <w:rFonts w:cstheme="minorHAnsi"/>
                <w:b/>
              </w:rPr>
              <w:t>Tax Status</w:t>
            </w:r>
          </w:p>
        </w:tc>
      </w:tr>
      <w:tr w:rsidR="009143F3" w:rsidRPr="00181723" w14:paraId="113BEF63" w14:textId="77777777" w:rsidTr="000A7163">
        <w:tc>
          <w:tcPr>
            <w:tcW w:w="2335" w:type="dxa"/>
          </w:tcPr>
          <w:p w14:paraId="113BEF58" w14:textId="77777777" w:rsidR="00292B1A" w:rsidRPr="00181723" w:rsidRDefault="00292B1A">
            <w:pPr>
              <w:rPr>
                <w:rFonts w:cstheme="minorHAnsi"/>
                <w:sz w:val="21"/>
                <w:szCs w:val="21"/>
              </w:rPr>
            </w:pPr>
            <w:r w:rsidRPr="00181723">
              <w:rPr>
                <w:rFonts w:cstheme="minorHAnsi"/>
                <w:sz w:val="21"/>
                <w:szCs w:val="21"/>
              </w:rPr>
              <w:t xml:space="preserve">Temporary </w:t>
            </w:r>
            <w:r w:rsidR="00EC7EB8" w:rsidRPr="00181723">
              <w:rPr>
                <w:rFonts w:cstheme="minorHAnsi"/>
                <w:sz w:val="21"/>
                <w:szCs w:val="21"/>
              </w:rPr>
              <w:t>Assignment</w:t>
            </w:r>
          </w:p>
          <w:p w14:paraId="113BEF59" w14:textId="77777777" w:rsidR="00292B1A" w:rsidRPr="00181723" w:rsidRDefault="004A398A" w:rsidP="004A398A">
            <w:pPr>
              <w:rPr>
                <w:rFonts w:cstheme="minorHAnsi"/>
                <w:sz w:val="21"/>
                <w:szCs w:val="21"/>
              </w:rPr>
            </w:pPr>
            <w:r w:rsidRPr="00181723">
              <w:rPr>
                <w:rFonts w:cstheme="minorHAnsi"/>
                <w:sz w:val="21"/>
                <w:szCs w:val="21"/>
              </w:rPr>
              <w:t>(may also be called temporary relocation)</w:t>
            </w:r>
          </w:p>
        </w:tc>
        <w:tc>
          <w:tcPr>
            <w:tcW w:w="3960" w:type="dxa"/>
          </w:tcPr>
          <w:p w14:paraId="59F258E9" w14:textId="088123E8" w:rsidR="006A3CD7" w:rsidRPr="00181723" w:rsidRDefault="008C5921" w:rsidP="00BB03D3">
            <w:pPr>
              <w:pStyle w:val="ListParagraph"/>
              <w:ind w:left="0"/>
              <w:rPr>
                <w:rFonts w:cstheme="minorHAnsi"/>
                <w:sz w:val="21"/>
                <w:szCs w:val="21"/>
              </w:rPr>
            </w:pPr>
            <w:bookmarkStart w:id="0" w:name="_Hlk128555039"/>
            <w:r w:rsidRPr="00181723">
              <w:rPr>
                <w:rFonts w:cstheme="minorHAnsi"/>
                <w:sz w:val="21"/>
                <w:szCs w:val="21"/>
              </w:rPr>
              <w:t xml:space="preserve">Working </w:t>
            </w:r>
            <w:r w:rsidR="00292B1A" w:rsidRPr="00181723">
              <w:rPr>
                <w:rFonts w:cstheme="minorHAnsi"/>
                <w:sz w:val="21"/>
                <w:szCs w:val="21"/>
              </w:rPr>
              <w:t xml:space="preserve">away from </w:t>
            </w:r>
            <w:r w:rsidR="00D03FE3" w:rsidRPr="00181723">
              <w:rPr>
                <w:rFonts w:cstheme="minorHAnsi"/>
                <w:sz w:val="21"/>
                <w:szCs w:val="21"/>
              </w:rPr>
              <w:t>your tax</w:t>
            </w:r>
            <w:r w:rsidR="00A3758F" w:rsidRPr="00181723">
              <w:rPr>
                <w:rFonts w:cstheme="minorHAnsi"/>
                <w:sz w:val="21"/>
                <w:szCs w:val="21"/>
              </w:rPr>
              <w:t xml:space="preserve"> </w:t>
            </w:r>
            <w:r w:rsidR="00292B1A" w:rsidRPr="00181723" w:rsidDel="00A13F13">
              <w:rPr>
                <w:rFonts w:cstheme="minorHAnsi"/>
                <w:sz w:val="21"/>
                <w:szCs w:val="21"/>
              </w:rPr>
              <w:t>home</w:t>
            </w:r>
            <w:r w:rsidR="00FE3E89" w:rsidRPr="00181723">
              <w:rPr>
                <w:rStyle w:val="FootnoteReference"/>
                <w:rFonts w:cstheme="minorHAnsi"/>
                <w:sz w:val="21"/>
                <w:szCs w:val="21"/>
              </w:rPr>
              <w:footnoteReference w:id="2"/>
            </w:r>
            <w:r w:rsidR="00292B1A" w:rsidRPr="00181723" w:rsidDel="00A13F13">
              <w:rPr>
                <w:rFonts w:cstheme="minorHAnsi"/>
                <w:sz w:val="21"/>
                <w:szCs w:val="21"/>
              </w:rPr>
              <w:t xml:space="preserve"> in </w:t>
            </w:r>
            <w:r w:rsidR="00A13F13" w:rsidRPr="00181723">
              <w:rPr>
                <w:rFonts w:cstheme="minorHAnsi"/>
                <w:sz w:val="21"/>
                <w:szCs w:val="21"/>
              </w:rPr>
              <w:t>another</w:t>
            </w:r>
            <w:r w:rsidR="00292B1A" w:rsidRPr="00181723">
              <w:rPr>
                <w:rFonts w:cstheme="minorHAnsi"/>
                <w:sz w:val="21"/>
                <w:szCs w:val="21"/>
              </w:rPr>
              <w:t xml:space="preserve"> location that is realistically expected to last for one year or less </w:t>
            </w:r>
            <w:r w:rsidR="00292B1A" w:rsidRPr="00181723">
              <w:rPr>
                <w:rFonts w:cstheme="minorHAnsi"/>
                <w:b/>
                <w:sz w:val="21"/>
                <w:szCs w:val="21"/>
              </w:rPr>
              <w:t xml:space="preserve">and </w:t>
            </w:r>
            <w:r w:rsidR="00AC6FFB" w:rsidRPr="00181723">
              <w:rPr>
                <w:rFonts w:cstheme="minorHAnsi"/>
                <w:sz w:val="21"/>
                <w:szCs w:val="21"/>
              </w:rPr>
              <w:t xml:space="preserve">your </w:t>
            </w:r>
            <w:r w:rsidR="00292B1A" w:rsidRPr="00181723">
              <w:rPr>
                <w:rFonts w:cstheme="minorHAnsi"/>
                <w:sz w:val="21"/>
                <w:szCs w:val="21"/>
              </w:rPr>
              <w:t>tax home does not change</w:t>
            </w:r>
            <w:r w:rsidR="00D83913" w:rsidRPr="00181723">
              <w:rPr>
                <w:rFonts w:cstheme="minorHAnsi"/>
                <w:sz w:val="21"/>
                <w:szCs w:val="21"/>
              </w:rPr>
              <w:t xml:space="preserve"> </w:t>
            </w:r>
            <w:r w:rsidR="00D83913" w:rsidRPr="00181723">
              <w:rPr>
                <w:rFonts w:cstheme="minorHAnsi"/>
                <w:b/>
                <w:bCs/>
                <w:sz w:val="21"/>
                <w:szCs w:val="21"/>
              </w:rPr>
              <w:t xml:space="preserve">and </w:t>
            </w:r>
            <w:r w:rsidR="00D83913" w:rsidRPr="00181723">
              <w:rPr>
                <w:rFonts w:cstheme="minorHAnsi"/>
                <w:sz w:val="21"/>
                <w:szCs w:val="21"/>
              </w:rPr>
              <w:t>you are incurring two sets of living expenses simultaneously</w:t>
            </w:r>
            <w:r w:rsidR="006A3CD7" w:rsidRPr="00181723">
              <w:rPr>
                <w:rFonts w:cstheme="minorHAnsi"/>
                <w:sz w:val="21"/>
                <w:szCs w:val="21"/>
              </w:rPr>
              <w:t>.</w:t>
            </w:r>
          </w:p>
          <w:p w14:paraId="4511F8B3" w14:textId="43310FD9" w:rsidR="0053403C" w:rsidRPr="00F44159" w:rsidRDefault="0053403C" w:rsidP="000B4EF3">
            <w:pPr>
              <w:pStyle w:val="ListParagraph"/>
              <w:ind w:left="144"/>
              <w:rPr>
                <w:rFonts w:cstheme="minorHAnsi"/>
                <w:sz w:val="8"/>
                <w:szCs w:val="8"/>
              </w:rPr>
            </w:pPr>
          </w:p>
          <w:p w14:paraId="113BEF5A" w14:textId="2CE64ADB" w:rsidR="00893F37" w:rsidRPr="00181723" w:rsidRDefault="00401147" w:rsidP="00401147">
            <w:pPr>
              <w:rPr>
                <w:rFonts w:cstheme="minorHAnsi"/>
                <w:sz w:val="21"/>
                <w:szCs w:val="21"/>
              </w:rPr>
            </w:pPr>
            <w:r w:rsidRPr="00181723">
              <w:rPr>
                <w:rFonts w:cstheme="minorHAnsi"/>
                <w:sz w:val="21"/>
                <w:szCs w:val="21"/>
              </w:rPr>
              <w:t xml:space="preserve">Generally, </w:t>
            </w:r>
            <w:r w:rsidR="00B447C0" w:rsidRPr="00181723">
              <w:rPr>
                <w:rFonts w:cstheme="minorHAnsi"/>
                <w:sz w:val="21"/>
                <w:szCs w:val="21"/>
              </w:rPr>
              <w:t xml:space="preserve">an </w:t>
            </w:r>
            <w:r w:rsidRPr="00181723">
              <w:rPr>
                <w:rFonts w:cstheme="minorHAnsi"/>
                <w:sz w:val="21"/>
                <w:szCs w:val="21"/>
              </w:rPr>
              <w:t>i</w:t>
            </w:r>
            <w:r w:rsidR="008C51FA" w:rsidRPr="00181723">
              <w:rPr>
                <w:rFonts w:cstheme="minorHAnsi"/>
                <w:sz w:val="21"/>
                <w:szCs w:val="21"/>
              </w:rPr>
              <w:t>ndividual must be completing work on behalf of Harvard</w:t>
            </w:r>
            <w:r w:rsidRPr="00181723">
              <w:rPr>
                <w:rFonts w:cstheme="minorHAnsi"/>
                <w:sz w:val="21"/>
                <w:szCs w:val="21"/>
              </w:rPr>
              <w:t xml:space="preserve"> or</w:t>
            </w:r>
            <w:r w:rsidR="00042034" w:rsidRPr="00181723">
              <w:rPr>
                <w:rFonts w:cstheme="minorHAnsi"/>
                <w:sz w:val="21"/>
                <w:szCs w:val="21"/>
              </w:rPr>
              <w:t xml:space="preserve"> Harvard </w:t>
            </w:r>
            <w:r w:rsidRPr="00181723">
              <w:rPr>
                <w:rFonts w:cstheme="minorHAnsi"/>
                <w:sz w:val="21"/>
                <w:szCs w:val="21"/>
              </w:rPr>
              <w:t>faculty on an approved sabbatical</w:t>
            </w:r>
            <w:r w:rsidR="00A362B4" w:rsidRPr="00181723">
              <w:rPr>
                <w:rFonts w:cstheme="minorHAnsi"/>
                <w:sz w:val="21"/>
                <w:szCs w:val="21"/>
              </w:rPr>
              <w:t xml:space="preserve"> for these expenses to be nontaxable</w:t>
            </w:r>
            <w:r w:rsidR="008C51FA" w:rsidRPr="00181723">
              <w:rPr>
                <w:rFonts w:cstheme="minorHAnsi"/>
                <w:sz w:val="21"/>
                <w:szCs w:val="21"/>
              </w:rPr>
              <w:t xml:space="preserve">. </w:t>
            </w:r>
            <w:r w:rsidR="008C51FA" w:rsidRPr="00181723">
              <w:rPr>
                <w:rFonts w:cstheme="minorHAnsi"/>
                <w:b/>
                <w:bCs/>
                <w:sz w:val="21"/>
                <w:szCs w:val="21"/>
              </w:rPr>
              <w:t xml:space="preserve">If </w:t>
            </w:r>
            <w:r w:rsidR="00181938" w:rsidRPr="00181723">
              <w:rPr>
                <w:rFonts w:cstheme="minorHAnsi"/>
                <w:b/>
                <w:bCs/>
                <w:sz w:val="21"/>
                <w:szCs w:val="21"/>
              </w:rPr>
              <w:t xml:space="preserve">an </w:t>
            </w:r>
            <w:r w:rsidR="008C51FA" w:rsidRPr="00181723">
              <w:rPr>
                <w:rFonts w:cstheme="minorHAnsi"/>
                <w:b/>
                <w:bCs/>
                <w:sz w:val="21"/>
                <w:szCs w:val="21"/>
              </w:rPr>
              <w:t>individual is completing their own research or professional development</w:t>
            </w:r>
            <w:r w:rsidR="00A362B4" w:rsidRPr="00181723">
              <w:rPr>
                <w:rFonts w:cstheme="minorHAnsi"/>
                <w:b/>
                <w:bCs/>
                <w:sz w:val="21"/>
                <w:szCs w:val="21"/>
              </w:rPr>
              <w:t xml:space="preserve"> (e.g., </w:t>
            </w:r>
            <w:hyperlink r:id="rId14" w:history="1">
              <w:r w:rsidR="00A362B4" w:rsidRPr="00181723">
                <w:rPr>
                  <w:rStyle w:val="Hyperlink"/>
                  <w:rFonts w:cstheme="minorHAnsi"/>
                  <w:color w:val="000000" w:themeColor="text1"/>
                  <w:sz w:val="21"/>
                  <w:szCs w:val="21"/>
                </w:rPr>
                <w:t>nonemployee fellowship/stipendee</w:t>
              </w:r>
            </w:hyperlink>
            <w:r w:rsidR="00F4750A" w:rsidRPr="00181723">
              <w:rPr>
                <w:rStyle w:val="Hyperlink"/>
                <w:rFonts w:cstheme="minorHAnsi"/>
                <w:color w:val="000000" w:themeColor="text1"/>
                <w:sz w:val="21"/>
                <w:szCs w:val="21"/>
              </w:rPr>
              <w:t>/</w:t>
            </w:r>
            <w:r w:rsidR="008339FA">
              <w:rPr>
                <w:rStyle w:val="Hyperlink"/>
                <w:rFonts w:cstheme="minorHAnsi"/>
                <w:color w:val="000000" w:themeColor="text1"/>
                <w:sz w:val="21"/>
                <w:szCs w:val="21"/>
              </w:rPr>
              <w:t xml:space="preserve"> </w:t>
            </w:r>
            <w:r w:rsidR="00F4750A" w:rsidRPr="00181723">
              <w:rPr>
                <w:rStyle w:val="Hyperlink"/>
                <w:rFonts w:cstheme="minorHAnsi"/>
                <w:color w:val="000000" w:themeColor="text1"/>
                <w:sz w:val="21"/>
                <w:szCs w:val="21"/>
              </w:rPr>
              <w:t>external postdoc</w:t>
            </w:r>
            <w:r w:rsidR="00A362B4" w:rsidRPr="00181723">
              <w:rPr>
                <w:rFonts w:cstheme="minorHAnsi"/>
                <w:sz w:val="21"/>
                <w:szCs w:val="21"/>
              </w:rPr>
              <w:t>)</w:t>
            </w:r>
            <w:r w:rsidR="008C51FA" w:rsidRPr="00181723">
              <w:rPr>
                <w:rFonts w:cstheme="minorHAnsi"/>
                <w:sz w:val="21"/>
                <w:szCs w:val="21"/>
              </w:rPr>
              <w:t>,</w:t>
            </w:r>
            <w:r w:rsidR="008C51FA" w:rsidRPr="00181723">
              <w:rPr>
                <w:rFonts w:cstheme="minorHAnsi"/>
                <w:b/>
                <w:bCs/>
                <w:sz w:val="21"/>
                <w:szCs w:val="21"/>
              </w:rPr>
              <w:t xml:space="preserve"> </w:t>
            </w:r>
            <w:r w:rsidR="00042034" w:rsidRPr="00181723">
              <w:rPr>
                <w:rFonts w:cstheme="minorHAnsi"/>
                <w:b/>
                <w:bCs/>
                <w:sz w:val="21"/>
                <w:szCs w:val="21"/>
              </w:rPr>
              <w:t>these expenses are</w:t>
            </w:r>
            <w:r w:rsidR="008C51FA" w:rsidRPr="00181723">
              <w:rPr>
                <w:rFonts w:cstheme="minorHAnsi"/>
                <w:b/>
                <w:bCs/>
                <w:sz w:val="21"/>
                <w:szCs w:val="21"/>
              </w:rPr>
              <w:t xml:space="preserve"> considered taxable</w:t>
            </w:r>
            <w:r w:rsidRPr="00181723">
              <w:rPr>
                <w:rFonts w:cstheme="minorHAnsi"/>
                <w:b/>
                <w:bCs/>
                <w:sz w:val="21"/>
                <w:szCs w:val="21"/>
              </w:rPr>
              <w:t>.</w:t>
            </w:r>
            <w:bookmarkEnd w:id="0"/>
          </w:p>
        </w:tc>
        <w:tc>
          <w:tcPr>
            <w:tcW w:w="6390" w:type="dxa"/>
          </w:tcPr>
          <w:p w14:paraId="113BEF5B" w14:textId="43BFB9C1" w:rsidR="00292B1A" w:rsidRPr="00181723" w:rsidRDefault="0034545D">
            <w:pPr>
              <w:rPr>
                <w:rFonts w:cstheme="minorHAnsi"/>
                <w:sz w:val="21"/>
                <w:szCs w:val="21"/>
              </w:rPr>
            </w:pPr>
            <w:r w:rsidRPr="00181723">
              <w:rPr>
                <w:rFonts w:cstheme="minorHAnsi"/>
                <w:sz w:val="21"/>
                <w:szCs w:val="21"/>
              </w:rPr>
              <w:t>≤</w:t>
            </w:r>
            <w:r w:rsidR="00292B1A" w:rsidRPr="00181723">
              <w:rPr>
                <w:rFonts w:cstheme="minorHAnsi"/>
                <w:sz w:val="21"/>
                <w:szCs w:val="21"/>
              </w:rPr>
              <w:t xml:space="preserve"> 1 year (12 months)</w:t>
            </w:r>
            <w:r w:rsidR="005710C6" w:rsidRPr="00181723">
              <w:rPr>
                <w:rStyle w:val="FootnoteReference"/>
                <w:rFonts w:cstheme="minorHAnsi"/>
                <w:sz w:val="21"/>
                <w:szCs w:val="21"/>
              </w:rPr>
              <w:t xml:space="preserve"> </w:t>
            </w:r>
            <w:r w:rsidR="005710C6" w:rsidRPr="00181723">
              <w:rPr>
                <w:rStyle w:val="FootnoteReference"/>
                <w:rFonts w:cstheme="minorHAnsi"/>
                <w:sz w:val="21"/>
                <w:szCs w:val="21"/>
              </w:rPr>
              <w:footnoteReference w:id="3"/>
            </w:r>
            <w:r w:rsidR="005710C6" w:rsidRPr="00181723">
              <w:rPr>
                <w:rFonts w:cstheme="minorHAnsi"/>
                <w:sz w:val="21"/>
                <w:szCs w:val="21"/>
              </w:rPr>
              <w:t>.</w:t>
            </w:r>
          </w:p>
          <w:p w14:paraId="3344789B" w14:textId="77777777" w:rsidR="005B39F5" w:rsidRPr="00181723" w:rsidRDefault="005B39F5" w:rsidP="005B39F5">
            <w:pPr>
              <w:rPr>
                <w:rFonts w:cstheme="minorHAnsi"/>
                <w:sz w:val="21"/>
                <w:szCs w:val="21"/>
              </w:rPr>
            </w:pPr>
            <w:r w:rsidRPr="00181723">
              <w:rPr>
                <w:rFonts w:cstheme="minorHAnsi"/>
                <w:sz w:val="21"/>
                <w:szCs w:val="21"/>
              </w:rPr>
              <w:t>Examples:</w:t>
            </w:r>
          </w:p>
          <w:p w14:paraId="58917ACF" w14:textId="6104A56D" w:rsidR="005B39F5" w:rsidRPr="00181723" w:rsidRDefault="005B39F5" w:rsidP="00727A39">
            <w:pPr>
              <w:pStyle w:val="ListParagraph"/>
              <w:numPr>
                <w:ilvl w:val="0"/>
                <w:numId w:val="5"/>
              </w:numPr>
              <w:ind w:left="160" w:hanging="160"/>
              <w:rPr>
                <w:rFonts w:cstheme="minorHAnsi"/>
                <w:b/>
                <w:sz w:val="21"/>
                <w:szCs w:val="21"/>
              </w:rPr>
            </w:pPr>
            <w:r w:rsidRPr="00181723">
              <w:rPr>
                <w:rFonts w:cstheme="minorHAnsi"/>
                <w:sz w:val="21"/>
                <w:szCs w:val="21"/>
              </w:rPr>
              <w:t>Faculty on sabbatical, temporarily relocating to another state</w:t>
            </w:r>
            <w:r w:rsidR="003C31B5" w:rsidRPr="00181723">
              <w:rPr>
                <w:rFonts w:cstheme="minorHAnsi"/>
                <w:sz w:val="21"/>
                <w:szCs w:val="21"/>
              </w:rPr>
              <w:t xml:space="preserve"> or country</w:t>
            </w:r>
            <w:r w:rsidR="00145BA9" w:rsidRPr="00181723">
              <w:rPr>
                <w:rFonts w:cstheme="minorHAnsi"/>
                <w:sz w:val="21"/>
                <w:szCs w:val="21"/>
              </w:rPr>
              <w:t xml:space="preserve">. </w:t>
            </w:r>
            <w:r w:rsidR="009501E0" w:rsidRPr="00181723">
              <w:rPr>
                <w:rFonts w:cstheme="minorHAnsi"/>
                <w:sz w:val="21"/>
                <w:szCs w:val="21"/>
              </w:rPr>
              <w:t xml:space="preserve">Transportation, lodging, meals </w:t>
            </w:r>
            <w:r w:rsidR="004F190E" w:rsidRPr="00181723">
              <w:rPr>
                <w:rFonts w:cstheme="minorHAnsi"/>
                <w:sz w:val="21"/>
                <w:szCs w:val="21"/>
              </w:rPr>
              <w:t xml:space="preserve">may </w:t>
            </w:r>
            <w:r w:rsidR="009501E0" w:rsidRPr="00181723">
              <w:rPr>
                <w:rFonts w:cstheme="minorHAnsi"/>
                <w:sz w:val="21"/>
                <w:szCs w:val="21"/>
              </w:rPr>
              <w:t>be considered qualified</w:t>
            </w:r>
            <w:r w:rsidR="004F190E" w:rsidRPr="00181723">
              <w:rPr>
                <w:rFonts w:cstheme="minorHAnsi"/>
                <w:sz w:val="21"/>
                <w:szCs w:val="21"/>
              </w:rPr>
              <w:t xml:space="preserve"> at a </w:t>
            </w:r>
            <w:r w:rsidR="004C5009" w:rsidRPr="00181723">
              <w:rPr>
                <w:rFonts w:cstheme="minorHAnsi"/>
                <w:sz w:val="21"/>
                <w:szCs w:val="21"/>
              </w:rPr>
              <w:t>S</w:t>
            </w:r>
            <w:r w:rsidR="004F190E" w:rsidRPr="00181723">
              <w:rPr>
                <w:rFonts w:cstheme="minorHAnsi"/>
                <w:sz w:val="21"/>
                <w:szCs w:val="21"/>
              </w:rPr>
              <w:t xml:space="preserve">chool or </w:t>
            </w:r>
            <w:r w:rsidR="004C5009" w:rsidRPr="00181723">
              <w:rPr>
                <w:rFonts w:cstheme="minorHAnsi"/>
                <w:sz w:val="21"/>
                <w:szCs w:val="21"/>
              </w:rPr>
              <w:t>U</w:t>
            </w:r>
            <w:r w:rsidR="004F190E" w:rsidRPr="00181723">
              <w:rPr>
                <w:rFonts w:cstheme="minorHAnsi"/>
                <w:sz w:val="21"/>
                <w:szCs w:val="21"/>
              </w:rPr>
              <w:t>nit’s discretion</w:t>
            </w:r>
            <w:r w:rsidR="009501E0" w:rsidRPr="00181723">
              <w:rPr>
                <w:rFonts w:cstheme="minorHAnsi"/>
                <w:sz w:val="21"/>
                <w:szCs w:val="21"/>
              </w:rPr>
              <w:t xml:space="preserve">. </w:t>
            </w:r>
            <w:r w:rsidR="00163B0D" w:rsidRPr="00181723">
              <w:rPr>
                <w:rFonts w:cstheme="minorHAnsi"/>
                <w:sz w:val="21"/>
                <w:szCs w:val="21"/>
              </w:rPr>
              <w:t>Moving of household items would be considered taxable</w:t>
            </w:r>
            <w:r w:rsidR="00163B0D" w:rsidRPr="00181723">
              <w:rPr>
                <w:rFonts w:cstheme="minorHAnsi"/>
                <w:b/>
                <w:sz w:val="21"/>
                <w:szCs w:val="21"/>
              </w:rPr>
              <w:t xml:space="preserve">. </w:t>
            </w:r>
            <w:bookmarkStart w:id="1" w:name="_Hlk128478518"/>
            <w:bookmarkStart w:id="2" w:name="_Hlk128477925"/>
            <w:bookmarkStart w:id="3" w:name="_Hlk128560503"/>
            <w:r w:rsidR="00145BA9" w:rsidRPr="00181723">
              <w:rPr>
                <w:rFonts w:cstheme="minorHAnsi"/>
                <w:sz w:val="21"/>
                <w:szCs w:val="21"/>
              </w:rPr>
              <w:t>Note: Any lodging expenses incurred at the sabbatical location would be less any income received by the faculty member for renting out their primary residence</w:t>
            </w:r>
            <w:bookmarkEnd w:id="1"/>
            <w:r w:rsidR="00145BA9" w:rsidRPr="00181723">
              <w:rPr>
                <w:rFonts w:cstheme="minorHAnsi"/>
                <w:b/>
                <w:sz w:val="21"/>
                <w:szCs w:val="21"/>
              </w:rPr>
              <w:t>.</w:t>
            </w:r>
            <w:bookmarkEnd w:id="2"/>
          </w:p>
          <w:bookmarkEnd w:id="3"/>
          <w:p w14:paraId="7B495569" w14:textId="3D807642" w:rsidR="00D146E1" w:rsidRPr="00181723" w:rsidRDefault="00EB6B59" w:rsidP="00727A39">
            <w:pPr>
              <w:pStyle w:val="ListParagraph"/>
              <w:numPr>
                <w:ilvl w:val="0"/>
                <w:numId w:val="5"/>
              </w:numPr>
              <w:ind w:left="160" w:hanging="160"/>
              <w:rPr>
                <w:rFonts w:cstheme="minorHAnsi"/>
                <w:sz w:val="21"/>
                <w:szCs w:val="21"/>
              </w:rPr>
            </w:pPr>
            <w:r w:rsidRPr="00181723">
              <w:rPr>
                <w:rFonts w:cstheme="minorHAnsi"/>
                <w:sz w:val="21"/>
                <w:szCs w:val="21"/>
              </w:rPr>
              <w:t>Travel, housing, or meal costs for t</w:t>
            </w:r>
            <w:r w:rsidR="005B39F5" w:rsidRPr="00181723">
              <w:rPr>
                <w:rFonts w:cstheme="minorHAnsi"/>
                <w:sz w:val="21"/>
                <w:szCs w:val="21"/>
              </w:rPr>
              <w:t>emporary visiting faculty to Harvard with a 10-month appointment</w:t>
            </w:r>
            <w:r w:rsidR="00D146E1" w:rsidRPr="00181723">
              <w:rPr>
                <w:rFonts w:cstheme="minorHAnsi"/>
                <w:sz w:val="21"/>
                <w:szCs w:val="21"/>
              </w:rPr>
              <w:t xml:space="preserve"> </w:t>
            </w:r>
            <w:r w:rsidR="004F190E" w:rsidRPr="00181723">
              <w:rPr>
                <w:rFonts w:cstheme="minorHAnsi"/>
                <w:sz w:val="21"/>
                <w:szCs w:val="21"/>
              </w:rPr>
              <w:t xml:space="preserve">may </w:t>
            </w:r>
            <w:r w:rsidR="00D146E1" w:rsidRPr="00181723">
              <w:rPr>
                <w:rFonts w:cstheme="minorHAnsi"/>
                <w:sz w:val="21"/>
                <w:szCs w:val="21"/>
              </w:rPr>
              <w:t>be considered qualified expenses</w:t>
            </w:r>
            <w:r w:rsidR="0053403C" w:rsidRPr="00181723">
              <w:rPr>
                <w:rFonts w:cstheme="minorHAnsi"/>
                <w:sz w:val="21"/>
                <w:szCs w:val="21"/>
              </w:rPr>
              <w:t xml:space="preserve"> </w:t>
            </w:r>
            <w:r w:rsidR="004F190E" w:rsidRPr="00181723">
              <w:rPr>
                <w:rFonts w:cstheme="minorHAnsi"/>
                <w:sz w:val="21"/>
                <w:szCs w:val="21"/>
              </w:rPr>
              <w:t xml:space="preserve">at a </w:t>
            </w:r>
            <w:r w:rsidR="004C5009" w:rsidRPr="00181723">
              <w:rPr>
                <w:rFonts w:cstheme="minorHAnsi"/>
                <w:sz w:val="21"/>
                <w:szCs w:val="21"/>
              </w:rPr>
              <w:t>S</w:t>
            </w:r>
            <w:r w:rsidR="004F190E" w:rsidRPr="00181723">
              <w:rPr>
                <w:rFonts w:cstheme="minorHAnsi"/>
                <w:sz w:val="21"/>
                <w:szCs w:val="21"/>
              </w:rPr>
              <w:t xml:space="preserve">chool or </w:t>
            </w:r>
            <w:r w:rsidR="004C5009" w:rsidRPr="00181723">
              <w:rPr>
                <w:rFonts w:cstheme="minorHAnsi"/>
                <w:sz w:val="21"/>
                <w:szCs w:val="21"/>
              </w:rPr>
              <w:t>U</w:t>
            </w:r>
            <w:r w:rsidR="004F190E" w:rsidRPr="00181723">
              <w:rPr>
                <w:rFonts w:cstheme="minorHAnsi"/>
                <w:sz w:val="21"/>
                <w:szCs w:val="21"/>
              </w:rPr>
              <w:t xml:space="preserve">nit’s discretion </w:t>
            </w:r>
            <w:r w:rsidR="0053403C" w:rsidRPr="00181723">
              <w:rPr>
                <w:rFonts w:cstheme="minorHAnsi"/>
                <w:sz w:val="21"/>
                <w:szCs w:val="21"/>
              </w:rPr>
              <w:t xml:space="preserve">as long as their original tax home does not change (e.g., </w:t>
            </w:r>
            <w:r w:rsidR="00A54C15" w:rsidRPr="00181723">
              <w:rPr>
                <w:rFonts w:cstheme="minorHAnsi"/>
                <w:sz w:val="21"/>
                <w:szCs w:val="21"/>
              </w:rPr>
              <w:t xml:space="preserve">incurs two sets of living expenses and </w:t>
            </w:r>
            <w:r w:rsidR="0053403C" w:rsidRPr="00181723">
              <w:rPr>
                <w:rFonts w:cstheme="minorHAnsi"/>
                <w:sz w:val="21"/>
                <w:szCs w:val="21"/>
              </w:rPr>
              <w:t>remains a resident of that state)</w:t>
            </w:r>
            <w:r w:rsidR="00D146E1" w:rsidRPr="00181723">
              <w:rPr>
                <w:rFonts w:cstheme="minorHAnsi"/>
                <w:sz w:val="21"/>
                <w:szCs w:val="21"/>
              </w:rPr>
              <w:t>.</w:t>
            </w:r>
            <w:r w:rsidR="009501E0" w:rsidRPr="00181723">
              <w:rPr>
                <w:rFonts w:cstheme="minorHAnsi"/>
                <w:sz w:val="21"/>
                <w:szCs w:val="21"/>
              </w:rPr>
              <w:t xml:space="preserve"> </w:t>
            </w:r>
            <w:r w:rsidR="00D146E1" w:rsidRPr="00181723">
              <w:rPr>
                <w:rFonts w:cstheme="minorHAnsi"/>
                <w:sz w:val="21"/>
                <w:szCs w:val="21"/>
              </w:rPr>
              <w:t xml:space="preserve">Moving </w:t>
            </w:r>
            <w:r w:rsidR="00163B0D" w:rsidRPr="00181723">
              <w:rPr>
                <w:rFonts w:cstheme="minorHAnsi"/>
                <w:sz w:val="21"/>
                <w:szCs w:val="21"/>
              </w:rPr>
              <w:t>of household items</w:t>
            </w:r>
            <w:r w:rsidR="00D146E1" w:rsidRPr="00181723" w:rsidDel="000C7E77">
              <w:rPr>
                <w:rFonts w:cstheme="minorHAnsi"/>
                <w:sz w:val="21"/>
                <w:szCs w:val="21"/>
              </w:rPr>
              <w:t xml:space="preserve"> </w:t>
            </w:r>
            <w:r w:rsidR="00D146E1" w:rsidRPr="00181723">
              <w:rPr>
                <w:rFonts w:cstheme="minorHAnsi"/>
                <w:sz w:val="21"/>
                <w:szCs w:val="21"/>
              </w:rPr>
              <w:t>would be considered taxable.</w:t>
            </w:r>
          </w:p>
          <w:p w14:paraId="113BEF5F" w14:textId="263C6542" w:rsidR="00ED4F63" w:rsidRPr="00181723" w:rsidRDefault="00B23BBB" w:rsidP="00727A39">
            <w:pPr>
              <w:pStyle w:val="ListParagraph"/>
              <w:numPr>
                <w:ilvl w:val="0"/>
                <w:numId w:val="5"/>
              </w:numPr>
              <w:ind w:left="160" w:hanging="160"/>
              <w:rPr>
                <w:rFonts w:cstheme="minorHAnsi"/>
                <w:sz w:val="21"/>
                <w:szCs w:val="21"/>
              </w:rPr>
            </w:pPr>
            <w:r w:rsidRPr="00181723">
              <w:rPr>
                <w:rFonts w:eastAsia="Times New Roman" w:cs="Arial"/>
                <w:sz w:val="21"/>
                <w:szCs w:val="21"/>
              </w:rPr>
              <w:t xml:space="preserve">An internal postdoc who has recently graduated from college moves to Massachusetts for a </w:t>
            </w:r>
            <w:r w:rsidR="00CB0BD5" w:rsidRPr="00181723">
              <w:rPr>
                <w:rFonts w:eastAsia="Times New Roman" w:cs="Arial"/>
                <w:sz w:val="21"/>
                <w:szCs w:val="21"/>
              </w:rPr>
              <w:t>12-month</w:t>
            </w:r>
            <w:r w:rsidRPr="00181723">
              <w:rPr>
                <w:rFonts w:eastAsia="Times New Roman" w:cs="Arial"/>
                <w:sz w:val="21"/>
                <w:szCs w:val="21"/>
              </w:rPr>
              <w:t xml:space="preserve"> employee </w:t>
            </w:r>
            <w:r w:rsidR="003D393C" w:rsidRPr="00181723">
              <w:rPr>
                <w:rFonts w:eastAsia="Times New Roman" w:cs="Arial"/>
                <w:sz w:val="21"/>
                <w:szCs w:val="21"/>
              </w:rPr>
              <w:t>fellowship but</w:t>
            </w:r>
            <w:r w:rsidRPr="00181723">
              <w:rPr>
                <w:rFonts w:eastAsia="Times New Roman" w:cs="Arial"/>
                <w:sz w:val="21"/>
                <w:szCs w:val="21"/>
              </w:rPr>
              <w:t xml:space="preserve"> does not keep an apartment in their previous state. Any housing expenses would be considered taxable since they do not have a main home and are not incurring two sets of living expenses. </w:t>
            </w:r>
            <w:r w:rsidR="00F4750A" w:rsidRPr="00181723">
              <w:rPr>
                <w:rFonts w:eastAsia="Times New Roman" w:cs="Arial"/>
                <w:sz w:val="21"/>
                <w:szCs w:val="21"/>
              </w:rPr>
              <w:t>If</w:t>
            </w:r>
            <w:r w:rsidRPr="00181723">
              <w:rPr>
                <w:rFonts w:eastAsia="Times New Roman" w:cs="Arial"/>
                <w:sz w:val="21"/>
                <w:szCs w:val="21"/>
              </w:rPr>
              <w:t xml:space="preserve"> however, the internal postdoc employee keeps an apartment in the other state, the appointment is 12 months or less and their tax home is in that state, the housing and living expenses may be considered a qualified (nontaxable) business expense.</w:t>
            </w:r>
            <w:r w:rsidR="004B65BB" w:rsidRPr="00181723">
              <w:rPr>
                <w:rFonts w:cstheme="minorHAnsi"/>
                <w:sz w:val="21"/>
                <w:szCs w:val="21"/>
              </w:rPr>
              <w:t xml:space="preserve"> </w:t>
            </w:r>
          </w:p>
        </w:tc>
        <w:tc>
          <w:tcPr>
            <w:tcW w:w="6210" w:type="dxa"/>
          </w:tcPr>
          <w:p w14:paraId="113BEF60" w14:textId="28D9A039" w:rsidR="00292B1A" w:rsidRPr="00181723" w:rsidRDefault="00EC7EB8">
            <w:pPr>
              <w:rPr>
                <w:rFonts w:cstheme="minorHAnsi"/>
                <w:b/>
                <w:bCs/>
                <w:sz w:val="21"/>
                <w:szCs w:val="21"/>
              </w:rPr>
            </w:pPr>
            <w:r w:rsidRPr="00181723">
              <w:rPr>
                <w:rFonts w:cstheme="minorHAnsi"/>
                <w:sz w:val="21"/>
                <w:szCs w:val="21"/>
              </w:rPr>
              <w:t xml:space="preserve">A department may elect </w:t>
            </w:r>
            <w:r w:rsidR="007B441B" w:rsidRPr="00181723">
              <w:rPr>
                <w:rFonts w:cstheme="minorHAnsi"/>
                <w:sz w:val="21"/>
                <w:szCs w:val="21"/>
              </w:rPr>
              <w:t xml:space="preserve">to reimburse for </w:t>
            </w:r>
            <w:r w:rsidRPr="00181723">
              <w:rPr>
                <w:rFonts w:cstheme="minorHAnsi"/>
                <w:sz w:val="21"/>
                <w:szCs w:val="21"/>
              </w:rPr>
              <w:t>t</w:t>
            </w:r>
            <w:r w:rsidR="00292B1A" w:rsidRPr="00181723">
              <w:rPr>
                <w:rFonts w:cstheme="minorHAnsi"/>
                <w:sz w:val="21"/>
                <w:szCs w:val="21"/>
              </w:rPr>
              <w:t>ransportation</w:t>
            </w:r>
            <w:r w:rsidR="00E479AC" w:rsidRPr="00181723">
              <w:rPr>
                <w:rFonts w:cstheme="minorHAnsi"/>
                <w:sz w:val="21"/>
                <w:szCs w:val="21"/>
              </w:rPr>
              <w:t xml:space="preserve"> (ongoing travel between Harvard and their tax home)</w:t>
            </w:r>
            <w:r w:rsidR="00292B1A" w:rsidRPr="00181723">
              <w:rPr>
                <w:rFonts w:cstheme="minorHAnsi"/>
                <w:sz w:val="21"/>
                <w:szCs w:val="21"/>
              </w:rPr>
              <w:t xml:space="preserve">, meals and housing costs </w:t>
            </w:r>
            <w:r w:rsidRPr="00181723">
              <w:rPr>
                <w:rFonts w:cstheme="minorHAnsi"/>
                <w:sz w:val="21"/>
                <w:szCs w:val="21"/>
              </w:rPr>
              <w:t>as a</w:t>
            </w:r>
            <w:r w:rsidR="007B441B" w:rsidRPr="00181723">
              <w:rPr>
                <w:rFonts w:cstheme="minorHAnsi"/>
                <w:sz w:val="21"/>
                <w:szCs w:val="21"/>
              </w:rPr>
              <w:t xml:space="preserve"> business expense. These would be </w:t>
            </w:r>
            <w:r w:rsidR="00292B1A" w:rsidRPr="00181723">
              <w:rPr>
                <w:rFonts w:cstheme="minorHAnsi"/>
                <w:sz w:val="21"/>
                <w:szCs w:val="21"/>
              </w:rPr>
              <w:t xml:space="preserve">processed as a </w:t>
            </w:r>
            <w:r w:rsidR="00C9718E" w:rsidRPr="00181723">
              <w:rPr>
                <w:rFonts w:cstheme="minorHAnsi"/>
                <w:sz w:val="21"/>
                <w:szCs w:val="21"/>
              </w:rPr>
              <w:t xml:space="preserve">nontaxable </w:t>
            </w:r>
            <w:r w:rsidR="00292B1A" w:rsidRPr="00181723">
              <w:rPr>
                <w:rFonts w:cstheme="minorHAnsi"/>
                <w:sz w:val="21"/>
                <w:szCs w:val="21"/>
              </w:rPr>
              <w:t>reimbursement through Concur</w:t>
            </w:r>
            <w:r w:rsidR="00DC0B6D" w:rsidRPr="00181723">
              <w:rPr>
                <w:rFonts w:cstheme="minorHAnsi"/>
                <w:sz w:val="21"/>
                <w:szCs w:val="21"/>
              </w:rPr>
              <w:t>,</w:t>
            </w:r>
            <w:r w:rsidR="00292B1A" w:rsidRPr="00181723">
              <w:rPr>
                <w:rFonts w:cstheme="minorHAnsi"/>
                <w:sz w:val="21"/>
                <w:szCs w:val="21"/>
              </w:rPr>
              <w:t xml:space="preserve"> or </w:t>
            </w:r>
            <w:r w:rsidR="006077B4" w:rsidRPr="00181723">
              <w:rPr>
                <w:rFonts w:cstheme="minorHAnsi"/>
                <w:sz w:val="21"/>
                <w:szCs w:val="21"/>
              </w:rPr>
              <w:t xml:space="preserve">B2P </w:t>
            </w:r>
            <w:r w:rsidR="00292B1A" w:rsidRPr="00181723">
              <w:rPr>
                <w:rFonts w:cstheme="minorHAnsi"/>
                <w:sz w:val="21"/>
                <w:szCs w:val="21"/>
              </w:rPr>
              <w:t>(if a non-employee).</w:t>
            </w:r>
            <w:r w:rsidR="009501E0" w:rsidRPr="00181723">
              <w:rPr>
                <w:rFonts w:cstheme="minorHAnsi"/>
                <w:sz w:val="21"/>
                <w:szCs w:val="21"/>
              </w:rPr>
              <w:t xml:space="preserve"> </w:t>
            </w:r>
            <w:r w:rsidR="009501E0" w:rsidRPr="00181723">
              <w:rPr>
                <w:rFonts w:cstheme="minorHAnsi"/>
                <w:b/>
                <w:bCs/>
                <w:sz w:val="21"/>
                <w:szCs w:val="21"/>
              </w:rPr>
              <w:t>Moving of hous</w:t>
            </w:r>
            <w:r w:rsidR="008E62F8" w:rsidRPr="00181723">
              <w:rPr>
                <w:rFonts w:cstheme="minorHAnsi"/>
                <w:b/>
                <w:bCs/>
                <w:sz w:val="21"/>
                <w:szCs w:val="21"/>
              </w:rPr>
              <w:t>e</w:t>
            </w:r>
            <w:r w:rsidR="009501E0" w:rsidRPr="00181723">
              <w:rPr>
                <w:rFonts w:cstheme="minorHAnsi"/>
                <w:b/>
                <w:bCs/>
                <w:sz w:val="21"/>
                <w:szCs w:val="21"/>
              </w:rPr>
              <w:t>hold items would be considered taxable and processed as additional compensation or as a payment request (PR).</w:t>
            </w:r>
          </w:p>
          <w:p w14:paraId="77358F4D" w14:textId="77777777" w:rsidR="00F44159" w:rsidRPr="00F44159" w:rsidRDefault="00F44159" w:rsidP="00F44159">
            <w:pPr>
              <w:pStyle w:val="ListParagraph"/>
              <w:ind w:left="144"/>
              <w:rPr>
                <w:rFonts w:cstheme="minorHAnsi"/>
                <w:sz w:val="8"/>
                <w:szCs w:val="8"/>
              </w:rPr>
            </w:pPr>
          </w:p>
          <w:p w14:paraId="2BD1DF4B" w14:textId="77777777" w:rsidR="00292B1A" w:rsidRPr="00181723" w:rsidRDefault="007B441B">
            <w:pPr>
              <w:rPr>
                <w:rStyle w:val="Hyperlink"/>
                <w:rFonts w:cstheme="minorHAnsi"/>
                <w:color w:val="auto"/>
                <w:sz w:val="21"/>
                <w:szCs w:val="21"/>
              </w:rPr>
            </w:pPr>
            <w:r w:rsidRPr="00181723">
              <w:rPr>
                <w:rFonts w:cstheme="minorHAnsi"/>
                <w:sz w:val="21"/>
                <w:szCs w:val="21"/>
              </w:rPr>
              <w:t>These expenses m</w:t>
            </w:r>
            <w:r w:rsidR="00292B1A" w:rsidRPr="00181723">
              <w:rPr>
                <w:rFonts w:cstheme="minorHAnsi"/>
                <w:sz w:val="21"/>
                <w:szCs w:val="21"/>
              </w:rPr>
              <w:t xml:space="preserve">ust follow the accountable plan rules – </w:t>
            </w:r>
            <w:r w:rsidR="00042034" w:rsidRPr="00181723">
              <w:rPr>
                <w:rFonts w:cstheme="minorHAnsi"/>
                <w:sz w:val="21"/>
                <w:szCs w:val="21"/>
              </w:rPr>
              <w:t xml:space="preserve">timely </w:t>
            </w:r>
            <w:r w:rsidR="00292B1A" w:rsidRPr="00181723">
              <w:rPr>
                <w:rFonts w:cstheme="minorHAnsi"/>
                <w:sz w:val="21"/>
                <w:szCs w:val="21"/>
              </w:rPr>
              <w:t xml:space="preserve">submission for reimbursement with appropriate receipts and documentation (who, what, where, </w:t>
            </w:r>
            <w:proofErr w:type="gramStart"/>
            <w:r w:rsidR="00292B1A" w:rsidRPr="00181723">
              <w:rPr>
                <w:rFonts w:cstheme="minorHAnsi"/>
                <w:sz w:val="21"/>
                <w:szCs w:val="21"/>
              </w:rPr>
              <w:t>when,</w:t>
            </w:r>
            <w:proofErr w:type="gramEnd"/>
            <w:r w:rsidR="00292B1A" w:rsidRPr="00181723">
              <w:rPr>
                <w:rFonts w:cstheme="minorHAnsi"/>
                <w:sz w:val="21"/>
                <w:szCs w:val="21"/>
              </w:rPr>
              <w:t xml:space="preserve"> why).</w:t>
            </w:r>
            <w:r w:rsidR="008C04EE" w:rsidRPr="00181723">
              <w:rPr>
                <w:rFonts w:cstheme="minorHAnsi"/>
                <w:sz w:val="21"/>
                <w:szCs w:val="21"/>
              </w:rPr>
              <w:t xml:space="preserve"> See the </w:t>
            </w:r>
            <w:hyperlink r:id="rId15" w:history="1">
              <w:r w:rsidR="008C04EE" w:rsidRPr="00181723">
                <w:rPr>
                  <w:rStyle w:val="Hyperlink"/>
                  <w:sz w:val="21"/>
                  <w:szCs w:val="21"/>
                </w:rPr>
                <w:t>Travel Policy</w:t>
              </w:r>
            </w:hyperlink>
            <w:r w:rsidR="006607EB" w:rsidRPr="00181723">
              <w:rPr>
                <w:sz w:val="21"/>
                <w:szCs w:val="21"/>
              </w:rPr>
              <w:t xml:space="preserve"> and </w:t>
            </w:r>
            <w:hyperlink r:id="rId16" w:history="1">
              <w:r w:rsidR="003C31B5" w:rsidRPr="00181723">
                <w:rPr>
                  <w:rStyle w:val="Hyperlink"/>
                  <w:rFonts w:cstheme="minorHAnsi"/>
                  <w:color w:val="auto"/>
                  <w:sz w:val="21"/>
                  <w:szCs w:val="21"/>
                </w:rPr>
                <w:t>Processing</w:t>
              </w:r>
              <w:r w:rsidR="006607EB" w:rsidRPr="00181723">
                <w:rPr>
                  <w:rStyle w:val="Hyperlink"/>
                  <w:rFonts w:cstheme="minorHAnsi"/>
                  <w:color w:val="auto"/>
                  <w:sz w:val="21"/>
                  <w:szCs w:val="21"/>
                </w:rPr>
                <w:t xml:space="preserve"> Taxable Employee Moving Expenses</w:t>
              </w:r>
            </w:hyperlink>
          </w:p>
          <w:p w14:paraId="4D32640E" w14:textId="77777777" w:rsidR="00F44159" w:rsidRPr="00F44159" w:rsidRDefault="00F44159" w:rsidP="00F44159">
            <w:pPr>
              <w:pStyle w:val="ListParagraph"/>
              <w:ind w:left="144"/>
              <w:rPr>
                <w:rFonts w:cstheme="minorHAnsi"/>
                <w:sz w:val="8"/>
                <w:szCs w:val="8"/>
              </w:rPr>
            </w:pPr>
          </w:p>
          <w:p w14:paraId="113BEF62" w14:textId="2A19C69C" w:rsidR="00292B1A" w:rsidRPr="00181723" w:rsidRDefault="002406EB">
            <w:pPr>
              <w:rPr>
                <w:rFonts w:cstheme="minorHAnsi"/>
                <w:b/>
                <w:color w:val="000000" w:themeColor="text1"/>
                <w:sz w:val="21"/>
                <w:szCs w:val="21"/>
              </w:rPr>
            </w:pPr>
            <w:r w:rsidRPr="00181723">
              <w:rPr>
                <w:rStyle w:val="Hyperlink"/>
                <w:b w:val="0"/>
                <w:bCs/>
                <w:color w:val="000000" w:themeColor="text1"/>
                <w:sz w:val="21"/>
                <w:szCs w:val="21"/>
              </w:rPr>
              <w:t>When submitting a reimbursement request, t</w:t>
            </w:r>
            <w:r w:rsidR="00407FC2" w:rsidRPr="00181723">
              <w:rPr>
                <w:rStyle w:val="Hyperlink"/>
                <w:b w:val="0"/>
                <w:bCs/>
                <w:color w:val="000000" w:themeColor="text1"/>
                <w:sz w:val="21"/>
                <w:szCs w:val="21"/>
              </w:rPr>
              <w:t xml:space="preserve">he </w:t>
            </w:r>
            <w:r w:rsidR="00281DCF" w:rsidRPr="00181723">
              <w:rPr>
                <w:rStyle w:val="Hyperlink"/>
                <w:b w:val="0"/>
                <w:bCs/>
                <w:color w:val="000000" w:themeColor="text1"/>
                <w:sz w:val="21"/>
                <w:szCs w:val="21"/>
              </w:rPr>
              <w:t xml:space="preserve">School or Unit must confirm </w:t>
            </w:r>
            <w:r w:rsidR="009164B6" w:rsidRPr="00181723">
              <w:rPr>
                <w:rStyle w:val="Hyperlink"/>
                <w:b w:val="0"/>
                <w:bCs/>
                <w:color w:val="000000" w:themeColor="text1"/>
                <w:sz w:val="21"/>
                <w:szCs w:val="21"/>
              </w:rPr>
              <w:t xml:space="preserve">with the employee that </w:t>
            </w:r>
            <w:r w:rsidR="00281DCF" w:rsidRPr="00181723">
              <w:rPr>
                <w:rStyle w:val="Hyperlink"/>
                <w:b w:val="0"/>
                <w:bCs/>
                <w:color w:val="000000" w:themeColor="text1"/>
                <w:sz w:val="21"/>
                <w:szCs w:val="21"/>
              </w:rPr>
              <w:t xml:space="preserve">the </w:t>
            </w:r>
            <w:r w:rsidR="00407FC2" w:rsidRPr="00181723">
              <w:rPr>
                <w:rStyle w:val="Hyperlink"/>
                <w:b w:val="0"/>
                <w:bCs/>
                <w:color w:val="000000" w:themeColor="text1"/>
                <w:sz w:val="21"/>
                <w:szCs w:val="21"/>
              </w:rPr>
              <w:t>expense</w:t>
            </w:r>
            <w:r w:rsidR="009143AB" w:rsidRPr="00181723">
              <w:rPr>
                <w:rStyle w:val="Hyperlink"/>
                <w:b w:val="0"/>
                <w:bCs/>
                <w:color w:val="000000" w:themeColor="text1"/>
                <w:sz w:val="21"/>
                <w:szCs w:val="21"/>
              </w:rPr>
              <w:t xml:space="preserve"> qualif</w:t>
            </w:r>
            <w:r w:rsidR="009164B6" w:rsidRPr="00181723">
              <w:rPr>
                <w:rStyle w:val="Hyperlink"/>
                <w:b w:val="0"/>
                <w:bCs/>
                <w:color w:val="000000" w:themeColor="text1"/>
                <w:sz w:val="21"/>
                <w:szCs w:val="21"/>
              </w:rPr>
              <w:t>ie</w:t>
            </w:r>
            <w:r w:rsidR="009143AB" w:rsidRPr="00181723">
              <w:rPr>
                <w:rStyle w:val="Hyperlink"/>
                <w:b w:val="0"/>
                <w:bCs/>
                <w:color w:val="000000" w:themeColor="text1"/>
                <w:sz w:val="21"/>
                <w:szCs w:val="21"/>
              </w:rPr>
              <w:t xml:space="preserve">s </w:t>
            </w:r>
            <w:r w:rsidR="00300443" w:rsidRPr="00181723">
              <w:rPr>
                <w:rStyle w:val="Hyperlink"/>
                <w:b w:val="0"/>
                <w:bCs/>
                <w:color w:val="000000" w:themeColor="text1"/>
                <w:sz w:val="21"/>
                <w:szCs w:val="21"/>
              </w:rPr>
              <w:t xml:space="preserve">as a temporary assignment </w:t>
            </w:r>
            <w:r w:rsidRPr="00181723">
              <w:rPr>
                <w:rStyle w:val="Hyperlink"/>
                <w:b w:val="0"/>
                <w:bCs/>
                <w:color w:val="000000" w:themeColor="text1"/>
                <w:sz w:val="21"/>
                <w:szCs w:val="21"/>
              </w:rPr>
              <w:t xml:space="preserve">and include language attesting </w:t>
            </w:r>
            <w:r w:rsidR="00300443" w:rsidRPr="00181723">
              <w:rPr>
                <w:rStyle w:val="Hyperlink"/>
                <w:b w:val="0"/>
                <w:bCs/>
                <w:color w:val="000000" w:themeColor="text1"/>
                <w:sz w:val="21"/>
                <w:szCs w:val="21"/>
              </w:rPr>
              <w:t>this</w:t>
            </w:r>
            <w:r w:rsidRPr="00181723">
              <w:rPr>
                <w:rStyle w:val="Hyperlink"/>
                <w:b w:val="0"/>
                <w:bCs/>
                <w:color w:val="000000" w:themeColor="text1"/>
                <w:sz w:val="21"/>
                <w:szCs w:val="21"/>
              </w:rPr>
              <w:t xml:space="preserve"> in the business purpose or comments section </w:t>
            </w:r>
            <w:r w:rsidR="00300443" w:rsidRPr="00181723">
              <w:rPr>
                <w:rStyle w:val="Hyperlink"/>
                <w:b w:val="0"/>
                <w:bCs/>
                <w:color w:val="000000" w:themeColor="text1"/>
                <w:sz w:val="21"/>
                <w:szCs w:val="21"/>
              </w:rPr>
              <w:t>o</w:t>
            </w:r>
            <w:r w:rsidRPr="00181723">
              <w:rPr>
                <w:rStyle w:val="Hyperlink"/>
                <w:b w:val="0"/>
                <w:bCs/>
                <w:color w:val="000000" w:themeColor="text1"/>
                <w:sz w:val="21"/>
                <w:szCs w:val="21"/>
              </w:rPr>
              <w:t xml:space="preserve">f the request </w:t>
            </w:r>
            <w:r w:rsidR="00281DCF" w:rsidRPr="00181723">
              <w:rPr>
                <w:rStyle w:val="Hyperlink"/>
                <w:b w:val="0"/>
                <w:bCs/>
                <w:color w:val="000000" w:themeColor="text1"/>
                <w:sz w:val="21"/>
                <w:szCs w:val="21"/>
              </w:rPr>
              <w:t xml:space="preserve">or </w:t>
            </w:r>
            <w:r w:rsidRPr="00181723">
              <w:rPr>
                <w:rStyle w:val="Hyperlink"/>
                <w:b w:val="0"/>
                <w:bCs/>
                <w:color w:val="000000" w:themeColor="text1"/>
                <w:sz w:val="21"/>
                <w:szCs w:val="21"/>
              </w:rPr>
              <w:t>attach a completed</w:t>
            </w:r>
            <w:r w:rsidR="00281DCF" w:rsidRPr="00181723">
              <w:rPr>
                <w:rStyle w:val="Hyperlink"/>
                <w:b w:val="0"/>
                <w:bCs/>
                <w:color w:val="000000" w:themeColor="text1"/>
                <w:sz w:val="21"/>
                <w:szCs w:val="21"/>
              </w:rPr>
              <w:t xml:space="preserve"> </w:t>
            </w:r>
            <w:hyperlink r:id="rId17" w:history="1">
              <w:r w:rsidR="00C1510F" w:rsidRPr="00181723">
                <w:rPr>
                  <w:rStyle w:val="Hyperlink"/>
                  <w:sz w:val="21"/>
                  <w:szCs w:val="21"/>
                </w:rPr>
                <w:t>Temporary Assignment Attestation Form</w:t>
              </w:r>
            </w:hyperlink>
            <w:r w:rsidRPr="00181723">
              <w:rPr>
                <w:rStyle w:val="Hyperlink"/>
                <w:b w:val="0"/>
                <w:bCs/>
                <w:color w:val="000000" w:themeColor="text1"/>
                <w:sz w:val="21"/>
                <w:szCs w:val="21"/>
              </w:rPr>
              <w:t xml:space="preserve"> </w:t>
            </w:r>
            <w:r w:rsidR="00C46134" w:rsidRPr="00181723">
              <w:rPr>
                <w:rStyle w:val="Hyperlink"/>
                <w:b w:val="0"/>
                <w:bCs/>
                <w:color w:val="000000" w:themeColor="text1"/>
                <w:sz w:val="21"/>
                <w:szCs w:val="21"/>
              </w:rPr>
              <w:t>with</w:t>
            </w:r>
            <w:r w:rsidRPr="00181723">
              <w:rPr>
                <w:rStyle w:val="Hyperlink"/>
                <w:b w:val="0"/>
                <w:bCs/>
                <w:color w:val="000000" w:themeColor="text1"/>
                <w:sz w:val="21"/>
                <w:szCs w:val="21"/>
              </w:rPr>
              <w:t xml:space="preserve"> the</w:t>
            </w:r>
            <w:r w:rsidR="00C46134" w:rsidRPr="00181723">
              <w:rPr>
                <w:rStyle w:val="Hyperlink"/>
                <w:b w:val="0"/>
                <w:bCs/>
                <w:color w:val="000000" w:themeColor="text1"/>
                <w:sz w:val="21"/>
                <w:szCs w:val="21"/>
              </w:rPr>
              <w:t xml:space="preserve"> reimbursement request.</w:t>
            </w:r>
          </w:p>
        </w:tc>
      </w:tr>
      <w:tr w:rsidR="009143F3" w:rsidRPr="00181723" w14:paraId="113BEF6E" w14:textId="77777777" w:rsidTr="000A7163">
        <w:tc>
          <w:tcPr>
            <w:tcW w:w="2335" w:type="dxa"/>
          </w:tcPr>
          <w:p w14:paraId="113BEF64" w14:textId="77777777" w:rsidR="00292B1A" w:rsidRPr="00181723" w:rsidRDefault="00292B1A" w:rsidP="004A398A">
            <w:pPr>
              <w:rPr>
                <w:rFonts w:cstheme="minorHAnsi"/>
                <w:sz w:val="21"/>
                <w:szCs w:val="21"/>
              </w:rPr>
            </w:pPr>
            <w:r w:rsidRPr="00181723">
              <w:rPr>
                <w:rFonts w:cstheme="minorHAnsi"/>
                <w:sz w:val="21"/>
                <w:szCs w:val="21"/>
              </w:rPr>
              <w:t xml:space="preserve">Permanent </w:t>
            </w:r>
            <w:r w:rsidR="004A398A" w:rsidRPr="00181723">
              <w:rPr>
                <w:rFonts w:cstheme="minorHAnsi"/>
                <w:sz w:val="21"/>
                <w:szCs w:val="21"/>
              </w:rPr>
              <w:t>Relocation</w:t>
            </w:r>
          </w:p>
        </w:tc>
        <w:tc>
          <w:tcPr>
            <w:tcW w:w="3960" w:type="dxa"/>
          </w:tcPr>
          <w:p w14:paraId="113BEF65" w14:textId="5B0A4335" w:rsidR="00292B1A" w:rsidRPr="00181723" w:rsidRDefault="00292B1A">
            <w:pPr>
              <w:rPr>
                <w:rFonts w:cstheme="minorHAnsi"/>
                <w:sz w:val="21"/>
                <w:szCs w:val="21"/>
              </w:rPr>
            </w:pPr>
            <w:r w:rsidRPr="00181723">
              <w:rPr>
                <w:rFonts w:cstheme="minorHAnsi"/>
                <w:sz w:val="21"/>
                <w:szCs w:val="21"/>
              </w:rPr>
              <w:t xml:space="preserve">One-way relocation for an indefinite period of time. This most often applies to new employees and faculty with </w:t>
            </w:r>
            <w:r w:rsidR="002C30C5" w:rsidRPr="00181723">
              <w:rPr>
                <w:rFonts w:cstheme="minorHAnsi"/>
                <w:sz w:val="21"/>
                <w:szCs w:val="21"/>
              </w:rPr>
              <w:t xml:space="preserve">no employment end date </w:t>
            </w:r>
            <w:r w:rsidRPr="00181723">
              <w:rPr>
                <w:rFonts w:cstheme="minorHAnsi"/>
                <w:sz w:val="21"/>
                <w:szCs w:val="21"/>
              </w:rPr>
              <w:t xml:space="preserve">or appointments greater than one year. </w:t>
            </w:r>
          </w:p>
        </w:tc>
        <w:tc>
          <w:tcPr>
            <w:tcW w:w="6390" w:type="dxa"/>
          </w:tcPr>
          <w:p w14:paraId="113BEF66" w14:textId="3E9DC5B1" w:rsidR="00292B1A" w:rsidRPr="00181723" w:rsidRDefault="0034545D">
            <w:pPr>
              <w:rPr>
                <w:rFonts w:cstheme="minorHAnsi"/>
                <w:sz w:val="21"/>
                <w:szCs w:val="21"/>
              </w:rPr>
            </w:pPr>
            <w:r w:rsidRPr="00181723">
              <w:rPr>
                <w:rFonts w:cstheme="minorHAnsi"/>
                <w:sz w:val="21"/>
                <w:szCs w:val="21"/>
              </w:rPr>
              <w:t>≥</w:t>
            </w:r>
            <w:r w:rsidR="00292B1A" w:rsidRPr="00181723">
              <w:rPr>
                <w:rFonts w:cstheme="minorHAnsi"/>
                <w:sz w:val="21"/>
                <w:szCs w:val="21"/>
              </w:rPr>
              <w:t xml:space="preserve"> 1 year (12 months)</w:t>
            </w:r>
          </w:p>
          <w:p w14:paraId="113BEF68" w14:textId="77777777" w:rsidR="00292B1A" w:rsidRPr="00181723" w:rsidRDefault="00292B1A">
            <w:pPr>
              <w:rPr>
                <w:rFonts w:cstheme="minorHAnsi"/>
                <w:sz w:val="21"/>
                <w:szCs w:val="21"/>
              </w:rPr>
            </w:pPr>
            <w:r w:rsidRPr="00181723">
              <w:rPr>
                <w:rFonts w:cstheme="minorHAnsi"/>
                <w:sz w:val="21"/>
                <w:szCs w:val="21"/>
              </w:rPr>
              <w:t>Examples:</w:t>
            </w:r>
          </w:p>
          <w:p w14:paraId="113BEF69" w14:textId="77777777" w:rsidR="00292B1A" w:rsidRPr="00181723" w:rsidRDefault="00292B1A" w:rsidP="00727A39">
            <w:pPr>
              <w:pStyle w:val="ListParagraph"/>
              <w:numPr>
                <w:ilvl w:val="0"/>
                <w:numId w:val="6"/>
              </w:numPr>
              <w:ind w:left="160" w:hanging="160"/>
              <w:rPr>
                <w:rFonts w:cstheme="minorHAnsi"/>
                <w:sz w:val="21"/>
                <w:szCs w:val="21"/>
              </w:rPr>
            </w:pPr>
            <w:r w:rsidRPr="00181723">
              <w:rPr>
                <w:rFonts w:cstheme="minorHAnsi"/>
                <w:sz w:val="21"/>
                <w:szCs w:val="21"/>
              </w:rPr>
              <w:t>New tenured faculty member</w:t>
            </w:r>
          </w:p>
          <w:p w14:paraId="6A1118E9" w14:textId="77777777" w:rsidR="00292B1A" w:rsidRPr="00181723" w:rsidRDefault="003D099D" w:rsidP="00727A39">
            <w:pPr>
              <w:pStyle w:val="ListParagraph"/>
              <w:numPr>
                <w:ilvl w:val="0"/>
                <w:numId w:val="6"/>
              </w:numPr>
              <w:ind w:left="160" w:hanging="160"/>
              <w:rPr>
                <w:rFonts w:cstheme="minorHAnsi"/>
                <w:sz w:val="21"/>
                <w:szCs w:val="21"/>
              </w:rPr>
            </w:pPr>
            <w:r w:rsidRPr="00181723">
              <w:rPr>
                <w:rFonts w:cstheme="minorHAnsi"/>
                <w:sz w:val="21"/>
                <w:szCs w:val="21"/>
              </w:rPr>
              <w:t xml:space="preserve">Employee </w:t>
            </w:r>
            <w:r w:rsidR="00E15663" w:rsidRPr="00181723">
              <w:rPr>
                <w:rFonts w:cstheme="minorHAnsi"/>
                <w:sz w:val="21"/>
                <w:szCs w:val="21"/>
              </w:rPr>
              <w:t>Postdoc</w:t>
            </w:r>
            <w:r w:rsidR="00292B1A" w:rsidRPr="00181723">
              <w:rPr>
                <w:rFonts w:cstheme="minorHAnsi"/>
                <w:sz w:val="21"/>
                <w:szCs w:val="21"/>
              </w:rPr>
              <w:t xml:space="preserve"> Fellow with a 2-year appointment</w:t>
            </w:r>
          </w:p>
          <w:p w14:paraId="113BEF6A" w14:textId="6AAE1B4B" w:rsidR="00854881" w:rsidRPr="00181723" w:rsidRDefault="00854881" w:rsidP="00727A39">
            <w:pPr>
              <w:pStyle w:val="ListParagraph"/>
              <w:numPr>
                <w:ilvl w:val="0"/>
                <w:numId w:val="6"/>
              </w:numPr>
              <w:ind w:left="160" w:hanging="160"/>
              <w:rPr>
                <w:rFonts w:cstheme="minorHAnsi"/>
                <w:sz w:val="21"/>
                <w:szCs w:val="21"/>
              </w:rPr>
            </w:pPr>
            <w:r w:rsidRPr="00181723">
              <w:rPr>
                <w:rFonts w:cstheme="minorHAnsi"/>
                <w:sz w:val="21"/>
                <w:szCs w:val="21"/>
              </w:rPr>
              <w:t xml:space="preserve">Employee Postdoc Fellow with a </w:t>
            </w:r>
            <w:r w:rsidR="00E479AC" w:rsidRPr="00181723">
              <w:rPr>
                <w:rFonts w:cstheme="minorHAnsi"/>
                <w:sz w:val="21"/>
                <w:szCs w:val="21"/>
              </w:rPr>
              <w:t>10-month</w:t>
            </w:r>
            <w:r w:rsidRPr="00181723">
              <w:rPr>
                <w:rFonts w:cstheme="minorHAnsi"/>
                <w:sz w:val="21"/>
                <w:szCs w:val="21"/>
              </w:rPr>
              <w:t xml:space="preserve"> appointment who is not incurring two sets of living expenses concurrently.</w:t>
            </w:r>
          </w:p>
        </w:tc>
        <w:tc>
          <w:tcPr>
            <w:tcW w:w="6210" w:type="dxa"/>
          </w:tcPr>
          <w:p w14:paraId="113BEF6D" w14:textId="2936803F" w:rsidR="00292B1A" w:rsidRPr="00181723" w:rsidRDefault="00EC7EB8" w:rsidP="00834F8D">
            <w:pPr>
              <w:rPr>
                <w:rFonts w:cstheme="minorHAnsi"/>
                <w:sz w:val="21"/>
                <w:szCs w:val="21"/>
              </w:rPr>
            </w:pPr>
            <w:r w:rsidRPr="00181723">
              <w:rPr>
                <w:rFonts w:cstheme="minorHAnsi"/>
                <w:sz w:val="21"/>
                <w:szCs w:val="21"/>
              </w:rPr>
              <w:t xml:space="preserve">A department may elect </w:t>
            </w:r>
            <w:r w:rsidR="007B441B" w:rsidRPr="00181723">
              <w:rPr>
                <w:rFonts w:cstheme="minorHAnsi"/>
                <w:sz w:val="21"/>
                <w:szCs w:val="21"/>
              </w:rPr>
              <w:t>to reimburse for moving expenses; however, a</w:t>
            </w:r>
            <w:r w:rsidR="00292B1A" w:rsidRPr="00181723">
              <w:rPr>
                <w:rFonts w:cstheme="minorHAnsi"/>
                <w:sz w:val="21"/>
                <w:szCs w:val="21"/>
              </w:rPr>
              <w:t>s of 1/1/18 all moving expenses are considered taxable.</w:t>
            </w:r>
            <w:r w:rsidR="008F7C26" w:rsidRPr="00181723">
              <w:rPr>
                <w:rFonts w:cstheme="minorHAnsi"/>
                <w:sz w:val="21"/>
                <w:szCs w:val="21"/>
              </w:rPr>
              <w:t xml:space="preserve"> </w:t>
            </w:r>
            <w:r w:rsidR="007B441B" w:rsidRPr="00181723">
              <w:rPr>
                <w:rFonts w:cstheme="minorHAnsi"/>
                <w:sz w:val="21"/>
                <w:szCs w:val="21"/>
              </w:rPr>
              <w:t xml:space="preserve">Any amounts paid by Harvard must be processed </w:t>
            </w:r>
            <w:r w:rsidR="00292B1A" w:rsidRPr="00181723">
              <w:rPr>
                <w:rFonts w:cstheme="minorHAnsi"/>
                <w:sz w:val="21"/>
                <w:szCs w:val="21"/>
              </w:rPr>
              <w:t>as additional compensation</w:t>
            </w:r>
            <w:r w:rsidR="00834F8D" w:rsidRPr="00181723">
              <w:rPr>
                <w:rFonts w:cstheme="minorHAnsi"/>
                <w:sz w:val="21"/>
                <w:szCs w:val="21"/>
              </w:rPr>
              <w:t xml:space="preserve"> and</w:t>
            </w:r>
            <w:r w:rsidR="00292B1A" w:rsidRPr="00181723">
              <w:rPr>
                <w:rFonts w:cstheme="minorHAnsi"/>
                <w:sz w:val="21"/>
                <w:szCs w:val="21"/>
              </w:rPr>
              <w:t xml:space="preserve"> may </w:t>
            </w:r>
            <w:r w:rsidR="00834F8D" w:rsidRPr="00181723">
              <w:rPr>
                <w:rFonts w:cstheme="minorHAnsi"/>
                <w:sz w:val="21"/>
                <w:szCs w:val="21"/>
              </w:rPr>
              <w:t xml:space="preserve">be </w:t>
            </w:r>
            <w:r w:rsidR="00292B1A" w:rsidRPr="00181723">
              <w:rPr>
                <w:rFonts w:cstheme="minorHAnsi"/>
                <w:sz w:val="21"/>
                <w:szCs w:val="21"/>
              </w:rPr>
              <w:t>gross</w:t>
            </w:r>
            <w:r w:rsidR="00B61D82" w:rsidRPr="00181723">
              <w:rPr>
                <w:rFonts w:cstheme="minorHAnsi"/>
                <w:sz w:val="21"/>
                <w:szCs w:val="21"/>
              </w:rPr>
              <w:t>ed-up</w:t>
            </w:r>
            <w:r w:rsidR="00292B1A" w:rsidRPr="00181723">
              <w:rPr>
                <w:rFonts w:cstheme="minorHAnsi"/>
                <w:sz w:val="21"/>
                <w:szCs w:val="21"/>
              </w:rPr>
              <w:t xml:space="preserve"> at </w:t>
            </w:r>
            <w:r w:rsidR="001A0821" w:rsidRPr="00181723">
              <w:rPr>
                <w:rFonts w:cstheme="minorHAnsi"/>
                <w:sz w:val="21"/>
                <w:szCs w:val="21"/>
              </w:rPr>
              <w:t xml:space="preserve">the </w:t>
            </w:r>
            <w:r w:rsidR="00834F8D" w:rsidRPr="00181723">
              <w:rPr>
                <w:rFonts w:cstheme="minorHAnsi"/>
                <w:sz w:val="21"/>
                <w:szCs w:val="21"/>
              </w:rPr>
              <w:t>school</w:t>
            </w:r>
            <w:r w:rsidR="001A0821" w:rsidRPr="00181723">
              <w:rPr>
                <w:rFonts w:cstheme="minorHAnsi"/>
                <w:sz w:val="21"/>
                <w:szCs w:val="21"/>
              </w:rPr>
              <w:t xml:space="preserve"> or </w:t>
            </w:r>
            <w:r w:rsidR="00DB387A" w:rsidRPr="00181723">
              <w:rPr>
                <w:rFonts w:cstheme="minorHAnsi"/>
                <w:sz w:val="21"/>
                <w:szCs w:val="21"/>
              </w:rPr>
              <w:t>unit’s</w:t>
            </w:r>
            <w:r w:rsidR="00834F8D" w:rsidRPr="00181723">
              <w:rPr>
                <w:rFonts w:cstheme="minorHAnsi"/>
                <w:sz w:val="21"/>
                <w:szCs w:val="21"/>
              </w:rPr>
              <w:t xml:space="preserve"> discretion</w:t>
            </w:r>
            <w:r w:rsidR="00A07773" w:rsidRPr="00181723">
              <w:rPr>
                <w:rFonts w:cstheme="minorHAnsi"/>
                <w:sz w:val="21"/>
                <w:szCs w:val="21"/>
              </w:rPr>
              <w:t xml:space="preserve"> and if the budget </w:t>
            </w:r>
            <w:r w:rsidR="002C30C5" w:rsidRPr="00181723">
              <w:rPr>
                <w:rFonts w:cstheme="minorHAnsi"/>
                <w:sz w:val="21"/>
                <w:szCs w:val="21"/>
              </w:rPr>
              <w:t xml:space="preserve">and funding </w:t>
            </w:r>
            <w:r w:rsidR="00DB387A" w:rsidRPr="00181723">
              <w:rPr>
                <w:rFonts w:cstheme="minorHAnsi"/>
                <w:sz w:val="21"/>
                <w:szCs w:val="21"/>
              </w:rPr>
              <w:t>allow</w:t>
            </w:r>
            <w:r w:rsidR="004E6A4B" w:rsidRPr="00181723">
              <w:rPr>
                <w:rFonts w:cstheme="minorHAnsi"/>
                <w:sz w:val="21"/>
                <w:szCs w:val="21"/>
              </w:rPr>
              <w:t>.</w:t>
            </w:r>
            <w:r w:rsidR="006607EB" w:rsidRPr="00181723">
              <w:rPr>
                <w:rFonts w:cstheme="minorHAnsi"/>
                <w:sz w:val="21"/>
                <w:szCs w:val="21"/>
              </w:rPr>
              <w:t xml:space="preserve"> See </w:t>
            </w:r>
            <w:r w:rsidR="006C062F" w:rsidRPr="00181723">
              <w:rPr>
                <w:rFonts w:cstheme="minorHAnsi"/>
                <w:sz w:val="21"/>
                <w:szCs w:val="21"/>
              </w:rPr>
              <w:t xml:space="preserve">under related resources </w:t>
            </w:r>
            <w:hyperlink r:id="rId18" w:history="1">
              <w:r w:rsidR="006607EB" w:rsidRPr="00181723">
                <w:rPr>
                  <w:rStyle w:val="Hyperlink"/>
                  <w:sz w:val="21"/>
                  <w:szCs w:val="21"/>
                </w:rPr>
                <w:t>Processing Taxable Employee Moving Expenses</w:t>
              </w:r>
            </w:hyperlink>
            <w:r w:rsidR="006607EB" w:rsidRPr="00181723">
              <w:rPr>
                <w:rStyle w:val="Hyperlink"/>
                <w:sz w:val="21"/>
                <w:szCs w:val="21"/>
              </w:rPr>
              <w:t>.</w:t>
            </w:r>
          </w:p>
        </w:tc>
      </w:tr>
    </w:tbl>
    <w:p w14:paraId="07C54D9E" w14:textId="77777777" w:rsidR="000A7163" w:rsidRDefault="000A7163">
      <w:pPr>
        <w:spacing w:after="160" w:line="259" w:lineRule="auto"/>
        <w:rPr>
          <w:rFonts w:eastAsiaTheme="majorEastAsia" w:cstheme="majorBidi"/>
          <w:b/>
          <w:sz w:val="21"/>
          <w:szCs w:val="21"/>
        </w:rPr>
      </w:pPr>
      <w:r>
        <w:rPr>
          <w:sz w:val="21"/>
          <w:szCs w:val="21"/>
        </w:rPr>
        <w:br w:type="page"/>
      </w:r>
    </w:p>
    <w:p w14:paraId="2A1CBFAE" w14:textId="77777777" w:rsidR="00B71F5A" w:rsidRDefault="00B71F5A" w:rsidP="00CB4B51">
      <w:pPr>
        <w:pStyle w:val="Heading1"/>
        <w:rPr>
          <w:sz w:val="21"/>
          <w:szCs w:val="21"/>
        </w:rPr>
      </w:pPr>
    </w:p>
    <w:tbl>
      <w:tblPr>
        <w:tblStyle w:val="TableGrid"/>
        <w:tblW w:w="0" w:type="auto"/>
        <w:tblLook w:val="04A0" w:firstRow="1" w:lastRow="0" w:firstColumn="1" w:lastColumn="0" w:noHBand="0" w:noVBand="1"/>
      </w:tblPr>
      <w:tblGrid>
        <w:gridCol w:w="3055"/>
        <w:gridCol w:w="5400"/>
        <w:gridCol w:w="4230"/>
        <w:gridCol w:w="6313"/>
      </w:tblGrid>
      <w:tr w:rsidR="000A7163" w14:paraId="31A30F5A" w14:textId="77777777" w:rsidTr="00792A13">
        <w:tc>
          <w:tcPr>
            <w:tcW w:w="3055" w:type="dxa"/>
          </w:tcPr>
          <w:p w14:paraId="5494614C" w14:textId="58025D3A" w:rsidR="000A7163" w:rsidRDefault="000A7163" w:rsidP="000A7163">
            <w:pPr>
              <w:jc w:val="center"/>
            </w:pPr>
            <w:r w:rsidRPr="009143F3">
              <w:rPr>
                <w:rFonts w:cstheme="minorHAnsi"/>
                <w:b/>
              </w:rPr>
              <w:t>Assignment Type</w:t>
            </w:r>
          </w:p>
        </w:tc>
        <w:tc>
          <w:tcPr>
            <w:tcW w:w="5400" w:type="dxa"/>
          </w:tcPr>
          <w:p w14:paraId="5B657D38" w14:textId="6DBF71E1" w:rsidR="000A7163" w:rsidRDefault="000A7163" w:rsidP="000A7163">
            <w:pPr>
              <w:jc w:val="center"/>
            </w:pPr>
            <w:r w:rsidRPr="009143F3">
              <w:rPr>
                <w:rFonts w:cstheme="minorHAnsi"/>
                <w:b/>
              </w:rPr>
              <w:t>Definition</w:t>
            </w:r>
          </w:p>
        </w:tc>
        <w:tc>
          <w:tcPr>
            <w:tcW w:w="4230" w:type="dxa"/>
          </w:tcPr>
          <w:p w14:paraId="5F81BAAA" w14:textId="6480AF96" w:rsidR="000A7163" w:rsidRDefault="000A7163" w:rsidP="000A7163">
            <w:pPr>
              <w:jc w:val="center"/>
            </w:pPr>
            <w:r w:rsidRPr="009143F3">
              <w:rPr>
                <w:rFonts w:cstheme="minorHAnsi"/>
                <w:b/>
              </w:rPr>
              <w:t>Employment Period with Some Examples</w:t>
            </w:r>
          </w:p>
        </w:tc>
        <w:tc>
          <w:tcPr>
            <w:tcW w:w="6313" w:type="dxa"/>
          </w:tcPr>
          <w:p w14:paraId="0EE2E620" w14:textId="37DCE83B" w:rsidR="000A7163" w:rsidRDefault="000A7163" w:rsidP="000A7163">
            <w:pPr>
              <w:jc w:val="center"/>
            </w:pPr>
            <w:r w:rsidRPr="009143F3">
              <w:rPr>
                <w:rFonts w:cstheme="minorHAnsi"/>
                <w:b/>
              </w:rPr>
              <w:t>Tax Status</w:t>
            </w:r>
          </w:p>
        </w:tc>
      </w:tr>
      <w:tr w:rsidR="000A7163" w14:paraId="0C960546" w14:textId="77777777" w:rsidTr="00792A13">
        <w:tc>
          <w:tcPr>
            <w:tcW w:w="3055" w:type="dxa"/>
          </w:tcPr>
          <w:p w14:paraId="5790AC3C" w14:textId="58723731" w:rsidR="000A7163" w:rsidRDefault="000A7163" w:rsidP="000A7163">
            <w:r w:rsidRPr="00181723">
              <w:rPr>
                <w:rFonts w:cstheme="minorHAnsi"/>
                <w:sz w:val="21"/>
                <w:szCs w:val="21"/>
              </w:rPr>
              <w:t>Business Travel</w:t>
            </w:r>
          </w:p>
        </w:tc>
        <w:tc>
          <w:tcPr>
            <w:tcW w:w="5400" w:type="dxa"/>
          </w:tcPr>
          <w:p w14:paraId="642C7102" w14:textId="415F1AD7" w:rsidR="000A7163" w:rsidRDefault="000A7163" w:rsidP="000A7163">
            <w:r w:rsidRPr="00181723">
              <w:rPr>
                <w:rFonts w:cstheme="minorHAnsi"/>
                <w:sz w:val="21"/>
                <w:szCs w:val="21"/>
              </w:rPr>
              <w:t xml:space="preserve">Harvard will reimburse individuals for travel expenses incurred conducting University business. Travel expenses must be reasonable and necessary, and travelers must always use the most cost-effective means of travel. Travelers must follow Harvard’s </w:t>
            </w:r>
            <w:hyperlink r:id="rId19" w:history="1">
              <w:r w:rsidRPr="00181723">
                <w:rPr>
                  <w:rStyle w:val="Hyperlink"/>
                  <w:rFonts w:cstheme="minorHAnsi"/>
                  <w:color w:val="auto"/>
                  <w:sz w:val="21"/>
                  <w:szCs w:val="21"/>
                </w:rPr>
                <w:t>Travel Policy</w:t>
              </w:r>
            </w:hyperlink>
            <w:r w:rsidRPr="00181723">
              <w:rPr>
                <w:rFonts w:cstheme="minorHAnsi"/>
                <w:sz w:val="21"/>
                <w:szCs w:val="21"/>
              </w:rPr>
              <w:t>.</w:t>
            </w:r>
          </w:p>
        </w:tc>
        <w:tc>
          <w:tcPr>
            <w:tcW w:w="4230" w:type="dxa"/>
          </w:tcPr>
          <w:p w14:paraId="17F83332" w14:textId="72DEE819" w:rsidR="000A7163" w:rsidRDefault="000A7163" w:rsidP="000A7163">
            <w:r>
              <w:t>N/A</w:t>
            </w:r>
          </w:p>
        </w:tc>
        <w:tc>
          <w:tcPr>
            <w:tcW w:w="6313" w:type="dxa"/>
          </w:tcPr>
          <w:p w14:paraId="27D0B3FF" w14:textId="38ED0DF4" w:rsidR="000A7163" w:rsidRDefault="000A7163" w:rsidP="000A7163">
            <w:r w:rsidRPr="00181723">
              <w:rPr>
                <w:rFonts w:cstheme="minorHAnsi"/>
                <w:sz w:val="21"/>
                <w:szCs w:val="21"/>
              </w:rPr>
              <w:t xml:space="preserve">Process via Concur or </w:t>
            </w:r>
            <w:r>
              <w:rPr>
                <w:rFonts w:cstheme="minorHAnsi"/>
                <w:sz w:val="21"/>
                <w:szCs w:val="21"/>
              </w:rPr>
              <w:t>B2P</w:t>
            </w:r>
            <w:r w:rsidRPr="00181723">
              <w:rPr>
                <w:rFonts w:cstheme="minorHAnsi"/>
                <w:sz w:val="21"/>
                <w:szCs w:val="21"/>
              </w:rPr>
              <w:t xml:space="preserve"> depending on employment status. These expenses must follow the accountable plan rules – timely submission for reimbursement with appropriate receipts and documentation (who, what, where, </w:t>
            </w:r>
            <w:proofErr w:type="gramStart"/>
            <w:r w:rsidRPr="00181723">
              <w:rPr>
                <w:rFonts w:cstheme="minorHAnsi"/>
                <w:sz w:val="21"/>
                <w:szCs w:val="21"/>
              </w:rPr>
              <w:t>when,</w:t>
            </w:r>
            <w:proofErr w:type="gramEnd"/>
            <w:r w:rsidRPr="00181723">
              <w:rPr>
                <w:rFonts w:cstheme="minorHAnsi"/>
                <w:sz w:val="21"/>
                <w:szCs w:val="21"/>
              </w:rPr>
              <w:t xml:space="preserve"> why). See the </w:t>
            </w:r>
            <w:hyperlink r:id="rId20" w:history="1">
              <w:r w:rsidRPr="00181723">
                <w:rPr>
                  <w:rStyle w:val="Hyperlink"/>
                  <w:sz w:val="21"/>
                  <w:szCs w:val="21"/>
                </w:rPr>
                <w:t>Travel Policy</w:t>
              </w:r>
            </w:hyperlink>
            <w:r w:rsidRPr="00181723">
              <w:rPr>
                <w:rFonts w:cstheme="minorHAnsi"/>
                <w:sz w:val="21"/>
                <w:szCs w:val="21"/>
              </w:rPr>
              <w:t>.</w:t>
            </w:r>
          </w:p>
        </w:tc>
      </w:tr>
      <w:tr w:rsidR="000A7163" w14:paraId="4FF49A77" w14:textId="77777777" w:rsidTr="00792A13">
        <w:tc>
          <w:tcPr>
            <w:tcW w:w="3055" w:type="dxa"/>
          </w:tcPr>
          <w:p w14:paraId="7254F46A" w14:textId="58A74579" w:rsidR="000A7163" w:rsidRDefault="000A7163" w:rsidP="000A7163">
            <w:r w:rsidRPr="00181723">
              <w:rPr>
                <w:rFonts w:cstheme="minorHAnsi"/>
                <w:sz w:val="21"/>
                <w:szCs w:val="21"/>
              </w:rPr>
              <w:t>Other</w:t>
            </w:r>
          </w:p>
        </w:tc>
        <w:tc>
          <w:tcPr>
            <w:tcW w:w="5400" w:type="dxa"/>
          </w:tcPr>
          <w:p w14:paraId="607384D6" w14:textId="77777777" w:rsidR="000A7163" w:rsidRPr="00181723" w:rsidRDefault="000A7163" w:rsidP="000A7163">
            <w:pPr>
              <w:rPr>
                <w:rFonts w:cstheme="minorHAnsi"/>
                <w:sz w:val="21"/>
                <w:szCs w:val="21"/>
              </w:rPr>
            </w:pPr>
            <w:r w:rsidRPr="00181723">
              <w:rPr>
                <w:rFonts w:cstheme="minorHAnsi"/>
                <w:sz w:val="21"/>
                <w:szCs w:val="21"/>
              </w:rPr>
              <w:t xml:space="preserve">Additional, rare cases involving short-term visits to Harvard </w:t>
            </w:r>
            <w:r w:rsidRPr="00181723">
              <w:rPr>
                <w:rFonts w:cstheme="minorHAnsi"/>
                <w:sz w:val="21"/>
                <w:szCs w:val="21"/>
                <w:u w:val="single"/>
              </w:rPr>
              <w:t>may</w:t>
            </w:r>
            <w:r w:rsidRPr="00181723">
              <w:rPr>
                <w:rFonts w:cstheme="minorHAnsi"/>
                <w:sz w:val="21"/>
                <w:szCs w:val="21"/>
              </w:rPr>
              <w:t xml:space="preserve"> qualify as a Harvard business expense. Contact </w:t>
            </w:r>
            <w:hyperlink r:id="rId21" w:history="1">
              <w:r w:rsidRPr="00181723">
                <w:rPr>
                  <w:rStyle w:val="Hyperlink"/>
                  <w:rFonts w:cstheme="minorHAnsi"/>
                  <w:sz w:val="21"/>
                  <w:szCs w:val="21"/>
                </w:rPr>
                <w:t>Tax Compliance Office</w:t>
              </w:r>
            </w:hyperlink>
            <w:r w:rsidRPr="00181723">
              <w:rPr>
                <w:rFonts w:cstheme="minorHAnsi"/>
                <w:sz w:val="21"/>
                <w:szCs w:val="21"/>
              </w:rPr>
              <w:t xml:space="preserve"> for determination and guidance.</w:t>
            </w:r>
          </w:p>
          <w:p w14:paraId="4ABBFB74" w14:textId="77777777" w:rsidR="000A7163" w:rsidRPr="00B71F5A" w:rsidRDefault="000A7163" w:rsidP="000A7163">
            <w:pPr>
              <w:rPr>
                <w:rFonts w:cstheme="minorHAnsi"/>
                <w:sz w:val="8"/>
                <w:szCs w:val="8"/>
              </w:rPr>
            </w:pPr>
          </w:p>
          <w:p w14:paraId="40318A3B" w14:textId="28AA78B1" w:rsidR="000A7163" w:rsidRDefault="000A7163" w:rsidP="000A7163">
            <w:r w:rsidRPr="00181723">
              <w:rPr>
                <w:rFonts w:cstheme="minorHAnsi"/>
                <w:sz w:val="21"/>
                <w:szCs w:val="21"/>
              </w:rPr>
              <w:t xml:space="preserve">These cases require additional review and documentation; in general, travel to Harvard </w:t>
            </w:r>
            <w:r w:rsidRPr="00181723">
              <w:rPr>
                <w:rFonts w:cstheme="minorHAnsi"/>
                <w:b/>
                <w:bCs/>
                <w:sz w:val="21"/>
                <w:szCs w:val="21"/>
              </w:rPr>
              <w:t>may</w:t>
            </w:r>
            <w:r w:rsidRPr="00181723">
              <w:rPr>
                <w:rFonts w:cstheme="minorHAnsi"/>
                <w:sz w:val="21"/>
                <w:szCs w:val="21"/>
              </w:rPr>
              <w:t xml:space="preserve"> be considered a business expense if the travel is outside of the employee’s tax home</w:t>
            </w:r>
            <w:r w:rsidRPr="00181723">
              <w:rPr>
                <w:rStyle w:val="FootnoteReference"/>
                <w:rFonts w:cstheme="minorHAnsi"/>
                <w:sz w:val="21"/>
                <w:szCs w:val="21"/>
              </w:rPr>
              <w:footnoteReference w:id="4"/>
            </w:r>
            <w:r w:rsidRPr="00181723">
              <w:rPr>
                <w:rFonts w:cstheme="minorHAnsi"/>
                <w:sz w:val="21"/>
                <w:szCs w:val="21"/>
              </w:rPr>
              <w:t xml:space="preserve"> </w:t>
            </w:r>
            <w:r w:rsidRPr="00181723">
              <w:rPr>
                <w:rFonts w:cstheme="minorHAnsi"/>
                <w:b/>
                <w:bCs/>
                <w:sz w:val="21"/>
                <w:szCs w:val="21"/>
              </w:rPr>
              <w:t>and</w:t>
            </w:r>
            <w:r w:rsidRPr="00181723">
              <w:rPr>
                <w:rFonts w:cstheme="minorHAnsi"/>
                <w:sz w:val="21"/>
                <w:szCs w:val="21"/>
              </w:rPr>
              <w:t xml:space="preserve"> their </w:t>
            </w:r>
            <w:r w:rsidRPr="00181723">
              <w:rPr>
                <w:rFonts w:cstheme="minorHAnsi"/>
                <w:bCs/>
                <w:sz w:val="21"/>
                <w:szCs w:val="21"/>
              </w:rPr>
              <w:t xml:space="preserve">main place of practice (employment or business) </w:t>
            </w:r>
            <w:r w:rsidRPr="00181723">
              <w:rPr>
                <w:rFonts w:cstheme="minorHAnsi"/>
                <w:b/>
                <w:sz w:val="21"/>
                <w:szCs w:val="21"/>
              </w:rPr>
              <w:t>is not</w:t>
            </w:r>
            <w:r w:rsidRPr="00181723">
              <w:rPr>
                <w:rFonts w:cstheme="minorHAnsi"/>
                <w:bCs/>
                <w:sz w:val="21"/>
                <w:szCs w:val="21"/>
              </w:rPr>
              <w:t xml:space="preserve"> Harvard, </w:t>
            </w:r>
            <w:r w:rsidRPr="00181723">
              <w:rPr>
                <w:rFonts w:cstheme="minorHAnsi"/>
                <w:b/>
                <w:bCs/>
                <w:sz w:val="21"/>
                <w:szCs w:val="21"/>
              </w:rPr>
              <w:t>and</w:t>
            </w:r>
            <w:r w:rsidRPr="00181723">
              <w:rPr>
                <w:rFonts w:cstheme="minorHAnsi"/>
                <w:sz w:val="21"/>
                <w:szCs w:val="21"/>
              </w:rPr>
              <w:t xml:space="preserve"> expenses meet IRS accountable plan rules.</w:t>
            </w:r>
          </w:p>
        </w:tc>
        <w:tc>
          <w:tcPr>
            <w:tcW w:w="4230" w:type="dxa"/>
          </w:tcPr>
          <w:p w14:paraId="4790DFDC" w14:textId="21388CF1" w:rsidR="000A7163" w:rsidRDefault="000A7163" w:rsidP="000A7163">
            <w:r w:rsidRPr="00181723">
              <w:rPr>
                <w:rFonts w:cstheme="minorHAnsi"/>
                <w:sz w:val="21"/>
                <w:szCs w:val="21"/>
              </w:rPr>
              <w:t xml:space="preserve">A practicing architect who holds a part-time lecturer position at Harvard whose main place of practice (employment) is New York and whose tax home is </w:t>
            </w:r>
            <w:proofErr w:type="gramStart"/>
            <w:r w:rsidRPr="00181723">
              <w:rPr>
                <w:rFonts w:cstheme="minorHAnsi"/>
                <w:sz w:val="21"/>
                <w:szCs w:val="21"/>
              </w:rPr>
              <w:t>New York, and</w:t>
            </w:r>
            <w:proofErr w:type="gramEnd"/>
            <w:r w:rsidRPr="00181723">
              <w:rPr>
                <w:rFonts w:cstheme="minorHAnsi"/>
                <w:sz w:val="21"/>
                <w:szCs w:val="21"/>
              </w:rPr>
              <w:t xml:space="preserve"> attests to such may have their travel and housing expenses in Cambridge considered a qualified business expense if all receipts meet the accountable plan rules. </w:t>
            </w:r>
            <w:r w:rsidRPr="00181723">
              <w:rPr>
                <w:rFonts w:cstheme="minorHAnsi"/>
                <w:b/>
                <w:bCs/>
                <w:sz w:val="21"/>
                <w:szCs w:val="21"/>
              </w:rPr>
              <w:t xml:space="preserve">Contact </w:t>
            </w:r>
            <w:hyperlink r:id="rId22" w:history="1">
              <w:r w:rsidRPr="00181723">
                <w:rPr>
                  <w:rStyle w:val="Hyperlink"/>
                  <w:rFonts w:cstheme="minorHAnsi"/>
                  <w:bCs/>
                  <w:sz w:val="21"/>
                  <w:szCs w:val="21"/>
                </w:rPr>
                <w:t>Tax Compliance Office</w:t>
              </w:r>
            </w:hyperlink>
            <w:r w:rsidRPr="00181723">
              <w:rPr>
                <w:rFonts w:cstheme="minorHAnsi"/>
                <w:b/>
                <w:bCs/>
                <w:sz w:val="21"/>
                <w:szCs w:val="21"/>
              </w:rPr>
              <w:t xml:space="preserve"> for determination and guidance. </w:t>
            </w:r>
          </w:p>
        </w:tc>
        <w:tc>
          <w:tcPr>
            <w:tcW w:w="6313" w:type="dxa"/>
          </w:tcPr>
          <w:p w14:paraId="1183BF9D" w14:textId="77777777" w:rsidR="000A7163" w:rsidRPr="00181723" w:rsidRDefault="000A7163" w:rsidP="000A7163">
            <w:pPr>
              <w:rPr>
                <w:rFonts w:cstheme="minorHAnsi"/>
                <w:sz w:val="21"/>
                <w:szCs w:val="21"/>
              </w:rPr>
            </w:pPr>
            <w:r w:rsidRPr="00181723">
              <w:rPr>
                <w:rFonts w:cstheme="minorHAnsi"/>
                <w:sz w:val="21"/>
                <w:szCs w:val="21"/>
              </w:rPr>
              <w:t xml:space="preserve">Process via Concur or B2P depending on employment status. These expenses must follow the accountable plan rules – timely submission for reimbursement with appropriate receipts and documentation (who, what, where, </w:t>
            </w:r>
            <w:proofErr w:type="gramStart"/>
            <w:r w:rsidRPr="00181723">
              <w:rPr>
                <w:rFonts w:cstheme="minorHAnsi"/>
                <w:sz w:val="21"/>
                <w:szCs w:val="21"/>
              </w:rPr>
              <w:t>when,</w:t>
            </w:r>
            <w:proofErr w:type="gramEnd"/>
            <w:r w:rsidRPr="00181723">
              <w:rPr>
                <w:rFonts w:cstheme="minorHAnsi"/>
                <w:sz w:val="21"/>
                <w:szCs w:val="21"/>
              </w:rPr>
              <w:t xml:space="preserve"> why). See the </w:t>
            </w:r>
            <w:hyperlink r:id="rId23" w:history="1">
              <w:r w:rsidRPr="00181723">
                <w:rPr>
                  <w:rStyle w:val="Hyperlink"/>
                  <w:sz w:val="21"/>
                  <w:szCs w:val="21"/>
                </w:rPr>
                <w:t>Travel Policy</w:t>
              </w:r>
            </w:hyperlink>
            <w:r w:rsidRPr="00181723">
              <w:rPr>
                <w:rFonts w:cstheme="minorHAnsi"/>
                <w:sz w:val="21"/>
                <w:szCs w:val="21"/>
              </w:rPr>
              <w:t>.</w:t>
            </w:r>
          </w:p>
          <w:p w14:paraId="065A9725" w14:textId="77777777" w:rsidR="000A7163" w:rsidRPr="00B71F5A" w:rsidRDefault="000A7163" w:rsidP="000A7163">
            <w:pPr>
              <w:rPr>
                <w:rFonts w:cstheme="minorHAnsi"/>
                <w:sz w:val="8"/>
                <w:szCs w:val="8"/>
              </w:rPr>
            </w:pPr>
          </w:p>
          <w:p w14:paraId="1BE8E061" w14:textId="5C652741" w:rsidR="000A7163" w:rsidRDefault="000A7163" w:rsidP="000A7163">
            <w:r w:rsidRPr="00181723">
              <w:rPr>
                <w:rStyle w:val="Hyperlink"/>
                <w:b w:val="0"/>
                <w:bCs/>
                <w:color w:val="000000" w:themeColor="text1"/>
                <w:sz w:val="21"/>
                <w:szCs w:val="21"/>
              </w:rPr>
              <w:t xml:space="preserve">When submitting a reimbursement request, the School or Unit must confirm with the employee that the expense qualifies under tax home and main place of practice and include language attesting this in the business purpose or comments section of the request or attach a completed </w:t>
            </w:r>
            <w:hyperlink r:id="rId24" w:history="1">
              <w:r w:rsidRPr="00181723">
                <w:rPr>
                  <w:rStyle w:val="Hyperlink"/>
                  <w:sz w:val="21"/>
                  <w:szCs w:val="21"/>
                </w:rPr>
                <w:t>Main Place of Practice Attestation Form</w:t>
              </w:r>
            </w:hyperlink>
            <w:r w:rsidRPr="00181723">
              <w:rPr>
                <w:rStyle w:val="Hyperlink"/>
                <w:bCs/>
                <w:color w:val="000000" w:themeColor="text1"/>
                <w:sz w:val="21"/>
                <w:szCs w:val="21"/>
              </w:rPr>
              <w:t xml:space="preserve"> </w:t>
            </w:r>
            <w:r w:rsidRPr="00181723">
              <w:rPr>
                <w:rStyle w:val="Hyperlink"/>
                <w:b w:val="0"/>
                <w:bCs/>
                <w:color w:val="000000" w:themeColor="text1"/>
                <w:sz w:val="21"/>
                <w:szCs w:val="21"/>
              </w:rPr>
              <w:t>with the reimbursement request.</w:t>
            </w:r>
          </w:p>
        </w:tc>
      </w:tr>
    </w:tbl>
    <w:p w14:paraId="55027E2A" w14:textId="77777777" w:rsidR="000A7163" w:rsidRPr="000A7163" w:rsidRDefault="000A7163" w:rsidP="000A7163"/>
    <w:p w14:paraId="57994AB5" w14:textId="6054EEA1" w:rsidR="008C04EE" w:rsidRPr="009143F3" w:rsidRDefault="00D86117" w:rsidP="00CB4B51">
      <w:pPr>
        <w:pStyle w:val="Heading1"/>
      </w:pPr>
      <w:r w:rsidRPr="009143F3">
        <w:t xml:space="preserve">Tax Implications for </w:t>
      </w:r>
      <w:r w:rsidR="00831D4F" w:rsidRPr="009143F3">
        <w:t xml:space="preserve">Recruitment, </w:t>
      </w:r>
      <w:r w:rsidRPr="009143F3">
        <w:t xml:space="preserve">Hiring </w:t>
      </w:r>
      <w:r w:rsidR="00831D4F" w:rsidRPr="009143F3">
        <w:t xml:space="preserve">and Visa Expenses </w:t>
      </w:r>
    </w:p>
    <w:p w14:paraId="6B0536D1" w14:textId="40A586BE" w:rsidR="004B65BB" w:rsidRPr="005D18AB" w:rsidRDefault="004B65BB" w:rsidP="00D4364D">
      <w:pPr>
        <w:rPr>
          <w:sz w:val="21"/>
          <w:szCs w:val="21"/>
        </w:rPr>
      </w:pPr>
      <w:r w:rsidRPr="005D18AB">
        <w:rPr>
          <w:sz w:val="21"/>
          <w:szCs w:val="21"/>
        </w:rPr>
        <w:t>Not every scenario is addressed</w:t>
      </w:r>
      <w:r w:rsidR="002A5241" w:rsidRPr="005D18AB">
        <w:rPr>
          <w:sz w:val="21"/>
          <w:szCs w:val="21"/>
        </w:rPr>
        <w:t>;</w:t>
      </w:r>
      <w:r w:rsidRPr="005D18AB">
        <w:rPr>
          <w:sz w:val="21"/>
          <w:szCs w:val="21"/>
        </w:rPr>
        <w:t xml:space="preserve"> where unusual circumstances arise, contact your local Finance Office or </w:t>
      </w:r>
      <w:hyperlink r:id="rId25" w:history="1">
        <w:r w:rsidR="008E0D9A" w:rsidRPr="00E563CA">
          <w:rPr>
            <w:rStyle w:val="Hyperlink"/>
            <w:sz w:val="21"/>
            <w:szCs w:val="21"/>
          </w:rPr>
          <w:t>Tax Compliance Office</w:t>
        </w:r>
      </w:hyperlink>
      <w:r w:rsidR="008E0D9A" w:rsidRPr="00E563CA">
        <w:rPr>
          <w:sz w:val="21"/>
          <w:szCs w:val="21"/>
        </w:rPr>
        <w:t xml:space="preserve"> for guidance</w:t>
      </w:r>
      <w:r w:rsidRPr="005D18AB">
        <w:rPr>
          <w:sz w:val="21"/>
          <w:szCs w:val="21"/>
        </w:rPr>
        <w:t>.</w:t>
      </w:r>
    </w:p>
    <w:p w14:paraId="63BA267A" w14:textId="7762FF5E" w:rsidR="00D4364D" w:rsidRPr="00B71F5A" w:rsidRDefault="00D4364D" w:rsidP="00D4364D">
      <w:pPr>
        <w:rPr>
          <w:sz w:val="8"/>
          <w:szCs w:val="8"/>
        </w:rPr>
      </w:pPr>
    </w:p>
    <w:p w14:paraId="0EC553F6" w14:textId="77777777" w:rsidR="00D4364D" w:rsidRPr="009143F3" w:rsidRDefault="00D4364D" w:rsidP="00D4364D">
      <w:pPr>
        <w:pStyle w:val="Heading3"/>
        <w:rPr>
          <w:b w:val="0"/>
        </w:rPr>
      </w:pPr>
      <w:r w:rsidRPr="009143F3">
        <w:t xml:space="preserve">Before an offer accepted – </w:t>
      </w:r>
      <w:proofErr w:type="gramStart"/>
      <w:r w:rsidRPr="009143F3">
        <w:t>Recruitment</w:t>
      </w:r>
      <w:proofErr w:type="gramEnd"/>
    </w:p>
    <w:p w14:paraId="2BEBAC51" w14:textId="5668D136" w:rsidR="00D4364D" w:rsidRPr="009143F3" w:rsidRDefault="00D4364D" w:rsidP="00D4364D">
      <w:pPr>
        <w:rPr>
          <w:sz w:val="26"/>
          <w:szCs w:val="26"/>
        </w:rPr>
      </w:pPr>
      <w:r w:rsidRPr="009143F3">
        <w:rPr>
          <w:rFonts w:cstheme="minorHAnsi"/>
          <w:sz w:val="21"/>
          <w:szCs w:val="21"/>
        </w:rPr>
        <w:t>Payment of expenses such as airfare, hotel, and meals during the recruitment process are not taxable and any out-of-pocket expenses may be processed as a nonemployee reimbursement (NR). Please be sure the individual’s VISA status allows reimbursement of expenses. All payments are at the school or unit’s discretion, if the budget and funding allow, and should be agreed-upon in writing.</w:t>
      </w:r>
    </w:p>
    <w:tbl>
      <w:tblPr>
        <w:tblStyle w:val="TableGrid"/>
        <w:tblW w:w="18900" w:type="dxa"/>
        <w:tblInd w:w="-5" w:type="dxa"/>
        <w:tblLook w:val="04A0" w:firstRow="1" w:lastRow="0" w:firstColumn="1" w:lastColumn="0" w:noHBand="0" w:noVBand="1"/>
      </w:tblPr>
      <w:tblGrid>
        <w:gridCol w:w="3150"/>
        <w:gridCol w:w="5220"/>
        <w:gridCol w:w="5045"/>
        <w:gridCol w:w="5485"/>
      </w:tblGrid>
      <w:tr w:rsidR="009143F3" w:rsidRPr="009143F3" w14:paraId="70402ABE" w14:textId="77777777" w:rsidTr="008F540E">
        <w:tc>
          <w:tcPr>
            <w:tcW w:w="3150" w:type="dxa"/>
            <w:vAlign w:val="center"/>
          </w:tcPr>
          <w:p w14:paraId="1E1558A2" w14:textId="1319768B" w:rsidR="004D5EB4" w:rsidRPr="009143F3" w:rsidRDefault="004D5EB4" w:rsidP="00F30D39">
            <w:pPr>
              <w:jc w:val="center"/>
              <w:rPr>
                <w:rFonts w:cstheme="minorHAnsi"/>
                <w:b/>
              </w:rPr>
            </w:pPr>
            <w:r w:rsidRPr="009143F3">
              <w:rPr>
                <w:rFonts w:cstheme="minorHAnsi"/>
                <w:b/>
              </w:rPr>
              <w:t>Type</w:t>
            </w:r>
          </w:p>
        </w:tc>
        <w:tc>
          <w:tcPr>
            <w:tcW w:w="5220" w:type="dxa"/>
            <w:vAlign w:val="center"/>
          </w:tcPr>
          <w:p w14:paraId="33F6055C" w14:textId="77777777" w:rsidR="004D5EB4" w:rsidRPr="009143F3" w:rsidRDefault="004D5EB4" w:rsidP="00F30D39">
            <w:pPr>
              <w:jc w:val="center"/>
              <w:rPr>
                <w:rFonts w:cstheme="minorHAnsi"/>
                <w:b/>
              </w:rPr>
            </w:pPr>
            <w:r w:rsidRPr="009143F3">
              <w:rPr>
                <w:rFonts w:cstheme="minorHAnsi"/>
                <w:b/>
              </w:rPr>
              <w:t>Definition</w:t>
            </w:r>
          </w:p>
        </w:tc>
        <w:tc>
          <w:tcPr>
            <w:tcW w:w="5045" w:type="dxa"/>
            <w:vAlign w:val="center"/>
          </w:tcPr>
          <w:p w14:paraId="1A8AD1EA" w14:textId="77777777" w:rsidR="004D5EB4" w:rsidRPr="009143F3" w:rsidRDefault="004D5EB4" w:rsidP="00F30D39">
            <w:pPr>
              <w:jc w:val="center"/>
              <w:rPr>
                <w:rFonts w:cstheme="minorHAnsi"/>
                <w:b/>
              </w:rPr>
            </w:pPr>
            <w:r w:rsidRPr="009143F3">
              <w:rPr>
                <w:rFonts w:cstheme="minorHAnsi"/>
                <w:b/>
              </w:rPr>
              <w:t>Nontaxable (qualified)</w:t>
            </w:r>
          </w:p>
          <w:p w14:paraId="00387158" w14:textId="710F6A00" w:rsidR="004D5EB4" w:rsidRPr="009143F3" w:rsidRDefault="004D5EB4" w:rsidP="00F30D39">
            <w:pPr>
              <w:jc w:val="center"/>
              <w:rPr>
                <w:rFonts w:cstheme="minorHAnsi"/>
                <w:b/>
              </w:rPr>
            </w:pPr>
            <w:r w:rsidRPr="009143F3">
              <w:rPr>
                <w:rFonts w:cstheme="minorHAnsi"/>
              </w:rPr>
              <w:t>The below may be paid at the school or unit’s discretion and if funding and budget allow.</w:t>
            </w:r>
          </w:p>
        </w:tc>
        <w:tc>
          <w:tcPr>
            <w:tcW w:w="5485" w:type="dxa"/>
            <w:vAlign w:val="center"/>
          </w:tcPr>
          <w:p w14:paraId="0E5529E9" w14:textId="77777777" w:rsidR="004D5EB4" w:rsidRPr="009143F3" w:rsidRDefault="004D5EB4" w:rsidP="00F30D39">
            <w:pPr>
              <w:jc w:val="center"/>
              <w:rPr>
                <w:rFonts w:cstheme="minorHAnsi"/>
                <w:b/>
              </w:rPr>
            </w:pPr>
            <w:r w:rsidRPr="009143F3">
              <w:rPr>
                <w:rFonts w:cstheme="minorHAnsi"/>
                <w:b/>
              </w:rPr>
              <w:t>Taxable (nonqualified)</w:t>
            </w:r>
          </w:p>
          <w:p w14:paraId="1060E50F" w14:textId="394DE94E" w:rsidR="004D5EB4" w:rsidRPr="009143F3" w:rsidRDefault="004D5EB4" w:rsidP="00F30D39">
            <w:pPr>
              <w:jc w:val="center"/>
              <w:rPr>
                <w:rFonts w:cstheme="minorHAnsi"/>
                <w:b/>
              </w:rPr>
            </w:pPr>
            <w:r w:rsidRPr="009143F3">
              <w:rPr>
                <w:rFonts w:cstheme="minorHAnsi"/>
              </w:rPr>
              <w:t>The below may be paid at the school or unit’s discretion and if funding and budget allow</w:t>
            </w:r>
            <w:r w:rsidR="007410A7" w:rsidRPr="009143F3">
              <w:rPr>
                <w:rFonts w:cstheme="minorHAnsi"/>
              </w:rPr>
              <w:t>.</w:t>
            </w:r>
            <w:r w:rsidRPr="009143F3">
              <w:rPr>
                <w:rFonts w:cstheme="minorHAnsi"/>
              </w:rPr>
              <w:t xml:space="preserve"> </w:t>
            </w:r>
            <w:r w:rsidR="001A0821" w:rsidRPr="009143F3">
              <w:rPr>
                <w:rFonts w:cstheme="minorHAnsi"/>
              </w:rPr>
              <w:t xml:space="preserve">Schools and units </w:t>
            </w:r>
            <w:r w:rsidRPr="009143F3">
              <w:rPr>
                <w:rFonts w:cstheme="minorHAnsi"/>
              </w:rPr>
              <w:t>may choose to gross-up these fees if at their discretion.</w:t>
            </w:r>
          </w:p>
        </w:tc>
      </w:tr>
      <w:tr w:rsidR="005F277E" w:rsidRPr="009143F3" w14:paraId="3D0670B1" w14:textId="77777777" w:rsidTr="008F540E">
        <w:tc>
          <w:tcPr>
            <w:tcW w:w="3150" w:type="dxa"/>
          </w:tcPr>
          <w:p w14:paraId="16EB002C" w14:textId="77777777" w:rsidR="00FC1570" w:rsidRPr="009143F3" w:rsidRDefault="00FC1570" w:rsidP="00D86117">
            <w:pPr>
              <w:rPr>
                <w:rFonts w:cstheme="minorHAnsi"/>
                <w:sz w:val="21"/>
                <w:szCs w:val="21"/>
              </w:rPr>
            </w:pPr>
            <w:r w:rsidRPr="009143F3">
              <w:rPr>
                <w:rFonts w:cstheme="minorHAnsi"/>
                <w:sz w:val="21"/>
                <w:szCs w:val="21"/>
              </w:rPr>
              <w:t>Pre-Employment:</w:t>
            </w:r>
          </w:p>
          <w:p w14:paraId="78CF696A" w14:textId="76FFF569" w:rsidR="005F277E" w:rsidRPr="009143F3" w:rsidRDefault="005F277E" w:rsidP="00D86117">
            <w:pPr>
              <w:rPr>
                <w:rFonts w:cstheme="minorHAnsi"/>
                <w:sz w:val="21"/>
                <w:szCs w:val="21"/>
              </w:rPr>
            </w:pPr>
            <w:r w:rsidRPr="009143F3">
              <w:rPr>
                <w:rFonts w:cstheme="minorHAnsi"/>
                <w:sz w:val="21"/>
                <w:szCs w:val="21"/>
              </w:rPr>
              <w:t>All types including prospective students, interns, fellows, etc.</w:t>
            </w:r>
            <w:r w:rsidR="00FC1570" w:rsidRPr="009143F3">
              <w:rPr>
                <w:rFonts w:cstheme="minorHAnsi"/>
                <w:sz w:val="21"/>
                <w:szCs w:val="21"/>
              </w:rPr>
              <w:t xml:space="preserve"> (i.e., not yet an employee or registered student)</w:t>
            </w:r>
          </w:p>
        </w:tc>
        <w:tc>
          <w:tcPr>
            <w:tcW w:w="5220" w:type="dxa"/>
            <w:shd w:val="clear" w:color="auto" w:fill="auto"/>
          </w:tcPr>
          <w:p w14:paraId="480C0384" w14:textId="35489B59" w:rsidR="005F277E" w:rsidRPr="009143F3" w:rsidRDefault="005E362D">
            <w:pPr>
              <w:rPr>
                <w:rFonts w:cstheme="minorHAnsi"/>
                <w:sz w:val="21"/>
                <w:szCs w:val="21"/>
              </w:rPr>
            </w:pPr>
            <w:r w:rsidRPr="009143F3">
              <w:rPr>
                <w:rFonts w:cstheme="minorHAnsi"/>
                <w:sz w:val="21"/>
                <w:szCs w:val="21"/>
              </w:rPr>
              <w:t>Expenses for a</w:t>
            </w:r>
            <w:r w:rsidR="005F277E" w:rsidRPr="009143F3">
              <w:rPr>
                <w:rFonts w:cstheme="minorHAnsi"/>
                <w:sz w:val="21"/>
                <w:szCs w:val="21"/>
              </w:rPr>
              <w:t xml:space="preserve">ny individual being brought to Harvard as part of a recruitment </w:t>
            </w:r>
            <w:r w:rsidR="008B360F" w:rsidRPr="009143F3">
              <w:rPr>
                <w:rFonts w:cstheme="minorHAnsi"/>
                <w:sz w:val="21"/>
                <w:szCs w:val="21"/>
              </w:rPr>
              <w:t xml:space="preserve">process </w:t>
            </w:r>
            <w:r w:rsidRPr="009143F3">
              <w:rPr>
                <w:rFonts w:cstheme="minorHAnsi"/>
                <w:sz w:val="21"/>
                <w:szCs w:val="21"/>
              </w:rPr>
              <w:t xml:space="preserve">are </w:t>
            </w:r>
            <w:r w:rsidR="005F277E" w:rsidRPr="009143F3">
              <w:rPr>
                <w:rFonts w:cstheme="minorHAnsi"/>
                <w:sz w:val="21"/>
                <w:szCs w:val="21"/>
              </w:rPr>
              <w:t>considered recruitment expenses and are qualified (nontaxable) business expenses.</w:t>
            </w:r>
            <w:r w:rsidR="008F540E">
              <w:rPr>
                <w:rFonts w:cstheme="minorHAnsi"/>
                <w:sz w:val="21"/>
                <w:szCs w:val="21"/>
              </w:rPr>
              <w:t xml:space="preserve"> </w:t>
            </w:r>
            <w:r w:rsidR="005F277E" w:rsidRPr="009143F3">
              <w:rPr>
                <w:rFonts w:cstheme="minorHAnsi"/>
                <w:sz w:val="21"/>
                <w:szCs w:val="21"/>
              </w:rPr>
              <w:t xml:space="preserve">This includes </w:t>
            </w:r>
            <w:r w:rsidRPr="009143F3">
              <w:rPr>
                <w:rFonts w:cstheme="minorHAnsi"/>
                <w:sz w:val="21"/>
                <w:szCs w:val="21"/>
              </w:rPr>
              <w:t xml:space="preserve">expenses for all </w:t>
            </w:r>
            <w:r w:rsidR="00B61D82" w:rsidRPr="009143F3">
              <w:rPr>
                <w:rFonts w:cstheme="minorHAnsi"/>
                <w:sz w:val="21"/>
                <w:szCs w:val="21"/>
              </w:rPr>
              <w:t xml:space="preserve">prospective </w:t>
            </w:r>
            <w:r w:rsidRPr="009143F3">
              <w:rPr>
                <w:rFonts w:cstheme="minorHAnsi"/>
                <w:sz w:val="21"/>
                <w:szCs w:val="21"/>
              </w:rPr>
              <w:t xml:space="preserve">employees including, for example, staff, faculty, or </w:t>
            </w:r>
            <w:r w:rsidR="005F277E" w:rsidRPr="009143F3">
              <w:rPr>
                <w:rFonts w:cstheme="minorHAnsi"/>
                <w:sz w:val="21"/>
                <w:szCs w:val="21"/>
              </w:rPr>
              <w:t>students or fellows (e.g., one w</w:t>
            </w:r>
            <w:r w:rsidR="0040769D" w:rsidRPr="009143F3">
              <w:rPr>
                <w:rFonts w:cstheme="minorHAnsi"/>
                <w:sz w:val="21"/>
                <w:szCs w:val="21"/>
              </w:rPr>
              <w:t>h</w:t>
            </w:r>
            <w:r w:rsidR="005F277E" w:rsidRPr="009143F3">
              <w:rPr>
                <w:rFonts w:cstheme="minorHAnsi"/>
                <w:sz w:val="21"/>
                <w:szCs w:val="21"/>
              </w:rPr>
              <w:t xml:space="preserve">o has not yet accepted </w:t>
            </w:r>
            <w:r w:rsidRPr="009143F3">
              <w:rPr>
                <w:rFonts w:cstheme="minorHAnsi"/>
                <w:sz w:val="21"/>
                <w:szCs w:val="21"/>
              </w:rPr>
              <w:t xml:space="preserve">employment, </w:t>
            </w:r>
            <w:r w:rsidR="005F277E" w:rsidRPr="009143F3">
              <w:rPr>
                <w:rFonts w:cstheme="minorHAnsi"/>
                <w:sz w:val="21"/>
                <w:szCs w:val="21"/>
              </w:rPr>
              <w:t xml:space="preserve">admission or a fellowship to Harvard). </w:t>
            </w:r>
          </w:p>
        </w:tc>
        <w:tc>
          <w:tcPr>
            <w:tcW w:w="5045" w:type="dxa"/>
            <w:shd w:val="clear" w:color="auto" w:fill="auto"/>
          </w:tcPr>
          <w:p w14:paraId="0F56E2A4" w14:textId="77777777" w:rsidR="005F277E" w:rsidRPr="009143F3" w:rsidRDefault="005F277E" w:rsidP="005F277E">
            <w:pPr>
              <w:pStyle w:val="ListParagraph"/>
              <w:numPr>
                <w:ilvl w:val="0"/>
                <w:numId w:val="9"/>
              </w:numPr>
              <w:ind w:left="162" w:hanging="162"/>
              <w:rPr>
                <w:rFonts w:cstheme="minorHAnsi"/>
                <w:sz w:val="21"/>
                <w:szCs w:val="21"/>
              </w:rPr>
            </w:pPr>
            <w:r w:rsidRPr="009143F3">
              <w:rPr>
                <w:rFonts w:cstheme="minorHAnsi"/>
                <w:sz w:val="21"/>
                <w:szCs w:val="21"/>
              </w:rPr>
              <w:t>Airfare, hotel, meals.</w:t>
            </w:r>
          </w:p>
          <w:p w14:paraId="55170A27" w14:textId="4680270B" w:rsidR="005F277E" w:rsidRPr="009143F3" w:rsidRDefault="005F277E" w:rsidP="005F277E">
            <w:pPr>
              <w:pStyle w:val="ListParagraph"/>
              <w:numPr>
                <w:ilvl w:val="0"/>
                <w:numId w:val="9"/>
              </w:numPr>
              <w:ind w:left="162" w:hanging="162"/>
              <w:rPr>
                <w:rFonts w:cstheme="minorHAnsi"/>
                <w:sz w:val="21"/>
                <w:szCs w:val="21"/>
              </w:rPr>
            </w:pPr>
            <w:r w:rsidRPr="009143F3">
              <w:rPr>
                <w:rFonts w:cstheme="minorHAnsi"/>
                <w:i/>
                <w:sz w:val="21"/>
                <w:szCs w:val="21"/>
              </w:rPr>
              <w:t>Harvard should make direct payments to vendors, such as airfare and hotels, where possible.</w:t>
            </w:r>
          </w:p>
          <w:p w14:paraId="2E8C3EF0" w14:textId="77777777" w:rsidR="00224650" w:rsidRPr="00224650" w:rsidRDefault="00224650" w:rsidP="00224650">
            <w:pPr>
              <w:rPr>
                <w:rFonts w:cstheme="minorHAnsi"/>
                <w:sz w:val="8"/>
                <w:szCs w:val="8"/>
              </w:rPr>
            </w:pPr>
          </w:p>
          <w:p w14:paraId="0FEFAA1C" w14:textId="4C0948F3" w:rsidR="005F277E" w:rsidRPr="009143F3" w:rsidRDefault="00121741" w:rsidP="005F277E">
            <w:pPr>
              <w:rPr>
                <w:rFonts w:cstheme="minorHAnsi"/>
                <w:sz w:val="21"/>
                <w:szCs w:val="21"/>
              </w:rPr>
            </w:pPr>
            <w:r w:rsidRPr="009143F3">
              <w:rPr>
                <w:rFonts w:cstheme="minorHAnsi"/>
                <w:sz w:val="21"/>
                <w:szCs w:val="21"/>
              </w:rPr>
              <w:t xml:space="preserve">Process via Concur or </w:t>
            </w:r>
            <w:r w:rsidR="00CC6783">
              <w:rPr>
                <w:rFonts w:cstheme="minorHAnsi"/>
                <w:sz w:val="21"/>
                <w:szCs w:val="21"/>
              </w:rPr>
              <w:t>B2P</w:t>
            </w:r>
            <w:r w:rsidRPr="009143F3">
              <w:rPr>
                <w:rFonts w:cstheme="minorHAnsi"/>
                <w:sz w:val="21"/>
                <w:szCs w:val="21"/>
              </w:rPr>
              <w:t xml:space="preserve"> depending on employment status</w:t>
            </w:r>
            <w:r w:rsidR="00747BC6" w:rsidRPr="009143F3">
              <w:rPr>
                <w:rFonts w:cstheme="minorHAnsi"/>
                <w:sz w:val="21"/>
                <w:szCs w:val="21"/>
              </w:rPr>
              <w:t xml:space="preserve"> and </w:t>
            </w:r>
            <w:r w:rsidR="00181938" w:rsidRPr="009143F3">
              <w:rPr>
                <w:rFonts w:cstheme="minorHAnsi"/>
                <w:sz w:val="21"/>
                <w:szCs w:val="21"/>
              </w:rPr>
              <w:t xml:space="preserve">when </w:t>
            </w:r>
            <w:r w:rsidR="00747BC6" w:rsidRPr="009143F3">
              <w:rPr>
                <w:rFonts w:cstheme="minorHAnsi"/>
                <w:sz w:val="21"/>
                <w:szCs w:val="21"/>
              </w:rPr>
              <w:t xml:space="preserve">expense </w:t>
            </w:r>
            <w:r w:rsidR="00AB35A6" w:rsidRPr="009143F3">
              <w:rPr>
                <w:rFonts w:cstheme="minorHAnsi"/>
                <w:sz w:val="21"/>
                <w:szCs w:val="21"/>
              </w:rPr>
              <w:t>was</w:t>
            </w:r>
            <w:r w:rsidR="00181938" w:rsidRPr="009143F3">
              <w:rPr>
                <w:rFonts w:cstheme="minorHAnsi"/>
                <w:sz w:val="21"/>
                <w:szCs w:val="21"/>
              </w:rPr>
              <w:t xml:space="preserve"> </w:t>
            </w:r>
            <w:r w:rsidR="00AB35A6" w:rsidRPr="009143F3">
              <w:rPr>
                <w:rFonts w:cstheme="minorHAnsi"/>
                <w:sz w:val="21"/>
                <w:szCs w:val="21"/>
              </w:rPr>
              <w:t>incurred</w:t>
            </w:r>
            <w:r w:rsidRPr="009143F3">
              <w:rPr>
                <w:rFonts w:cstheme="minorHAnsi"/>
                <w:sz w:val="21"/>
                <w:szCs w:val="21"/>
              </w:rPr>
              <w:t xml:space="preserve">. </w:t>
            </w:r>
            <w:r w:rsidR="00056621" w:rsidRPr="009143F3">
              <w:rPr>
                <w:rFonts w:cstheme="minorHAnsi"/>
                <w:sz w:val="21"/>
                <w:szCs w:val="21"/>
              </w:rPr>
              <w:t xml:space="preserve">See </w:t>
            </w:r>
            <w:hyperlink r:id="rId26" w:history="1">
              <w:r w:rsidR="00056621" w:rsidRPr="00D522D3">
                <w:rPr>
                  <w:rStyle w:val="Hyperlink"/>
                </w:rPr>
                <w:t>Reimbursements and Changes in Employment Statu</w:t>
              </w:r>
              <w:r w:rsidR="00056621" w:rsidRPr="00B86E04">
                <w:rPr>
                  <w:rStyle w:val="Hyperlink"/>
                  <w:rFonts w:cstheme="minorHAnsi"/>
                  <w:color w:val="auto"/>
                  <w:sz w:val="21"/>
                  <w:szCs w:val="21"/>
                </w:rPr>
                <w:t>s</w:t>
              </w:r>
            </w:hyperlink>
            <w:r w:rsidR="00B86E04" w:rsidRPr="00B86E04">
              <w:rPr>
                <w:rFonts w:cstheme="minorHAnsi"/>
                <w:sz w:val="21"/>
                <w:szCs w:val="21"/>
              </w:rPr>
              <w:t xml:space="preserve"> under related resources.</w:t>
            </w:r>
            <w:r w:rsidR="00056621" w:rsidRPr="00B86E04">
              <w:rPr>
                <w:rFonts w:cstheme="minorHAnsi"/>
                <w:sz w:val="21"/>
                <w:szCs w:val="21"/>
              </w:rPr>
              <w:t xml:space="preserve"> </w:t>
            </w:r>
            <w:r w:rsidR="00805988" w:rsidRPr="009143F3">
              <w:rPr>
                <w:rFonts w:cstheme="minorHAnsi"/>
                <w:sz w:val="21"/>
                <w:szCs w:val="21"/>
              </w:rPr>
              <w:t xml:space="preserve">Follow Harvard’s </w:t>
            </w:r>
            <w:hyperlink r:id="rId27" w:history="1">
              <w:r w:rsidRPr="00D522D3">
                <w:rPr>
                  <w:rStyle w:val="Hyperlink"/>
                </w:rPr>
                <w:t>Travel Policy</w:t>
              </w:r>
            </w:hyperlink>
            <w:r w:rsidR="00805988" w:rsidRPr="009143F3">
              <w:rPr>
                <w:rStyle w:val="Hyperlink"/>
                <w:color w:val="auto"/>
              </w:rPr>
              <w:t>.</w:t>
            </w:r>
          </w:p>
        </w:tc>
        <w:tc>
          <w:tcPr>
            <w:tcW w:w="5485" w:type="dxa"/>
            <w:shd w:val="clear" w:color="auto" w:fill="auto"/>
          </w:tcPr>
          <w:p w14:paraId="7F227BE0" w14:textId="77777777" w:rsidR="00666BC5" w:rsidRDefault="0040769D" w:rsidP="00666BC5">
            <w:pPr>
              <w:pStyle w:val="ListParagraph"/>
              <w:numPr>
                <w:ilvl w:val="0"/>
                <w:numId w:val="17"/>
              </w:numPr>
              <w:ind w:left="162" w:hanging="162"/>
              <w:rPr>
                <w:rFonts w:cstheme="minorHAnsi"/>
                <w:sz w:val="21"/>
                <w:szCs w:val="21"/>
              </w:rPr>
            </w:pPr>
            <w:r w:rsidRPr="009143F3">
              <w:rPr>
                <w:rFonts w:cstheme="minorHAnsi"/>
                <w:sz w:val="21"/>
                <w:szCs w:val="21"/>
              </w:rPr>
              <w:t>Any service fees (</w:t>
            </w:r>
            <w:r w:rsidR="0032343D" w:rsidRPr="009143F3">
              <w:rPr>
                <w:rFonts w:cstheme="minorHAnsi"/>
                <w:sz w:val="21"/>
                <w:szCs w:val="21"/>
              </w:rPr>
              <w:t>e.g</w:t>
            </w:r>
            <w:r w:rsidRPr="009143F3">
              <w:rPr>
                <w:rFonts w:cstheme="minorHAnsi"/>
                <w:sz w:val="21"/>
                <w:szCs w:val="21"/>
              </w:rPr>
              <w:t xml:space="preserve">., as part of the interview process an individual is given an </w:t>
            </w:r>
            <w:r w:rsidR="00E15663" w:rsidRPr="009143F3">
              <w:rPr>
                <w:rFonts w:cstheme="minorHAnsi"/>
                <w:sz w:val="21"/>
                <w:szCs w:val="21"/>
              </w:rPr>
              <w:t>honorarium</w:t>
            </w:r>
            <w:r w:rsidRPr="009143F3">
              <w:rPr>
                <w:rFonts w:cstheme="minorHAnsi"/>
                <w:sz w:val="21"/>
                <w:szCs w:val="21"/>
              </w:rPr>
              <w:t xml:space="preserve"> for a public presentation).</w:t>
            </w:r>
          </w:p>
          <w:p w14:paraId="60E6572F" w14:textId="5DBEE34A" w:rsidR="005F277E" w:rsidRPr="00666BC5" w:rsidRDefault="0040769D" w:rsidP="00666BC5">
            <w:pPr>
              <w:pStyle w:val="ListParagraph"/>
              <w:numPr>
                <w:ilvl w:val="0"/>
                <w:numId w:val="17"/>
              </w:numPr>
              <w:ind w:left="162" w:hanging="162"/>
              <w:rPr>
                <w:rFonts w:cstheme="minorHAnsi"/>
                <w:sz w:val="21"/>
                <w:szCs w:val="21"/>
              </w:rPr>
            </w:pPr>
            <w:r w:rsidRPr="00666BC5">
              <w:rPr>
                <w:rFonts w:cstheme="minorHAnsi"/>
                <w:sz w:val="21"/>
                <w:szCs w:val="21"/>
              </w:rPr>
              <w:t xml:space="preserve">Any travel allowances or travel advances given to the individual </w:t>
            </w:r>
            <w:r w:rsidR="00121741" w:rsidRPr="00666BC5">
              <w:rPr>
                <w:rFonts w:cstheme="minorHAnsi"/>
                <w:sz w:val="21"/>
                <w:szCs w:val="21"/>
              </w:rPr>
              <w:t xml:space="preserve">prior to the travel occurring or </w:t>
            </w:r>
            <w:r w:rsidRPr="00666BC5">
              <w:rPr>
                <w:rFonts w:cstheme="minorHAnsi"/>
                <w:sz w:val="21"/>
                <w:szCs w:val="21"/>
              </w:rPr>
              <w:t>in lieu of following accountable plan rules (</w:t>
            </w:r>
            <w:r w:rsidR="008B360F" w:rsidRPr="00666BC5">
              <w:rPr>
                <w:rFonts w:cstheme="minorHAnsi"/>
                <w:sz w:val="21"/>
                <w:szCs w:val="21"/>
              </w:rPr>
              <w:t>e.g</w:t>
            </w:r>
            <w:r w:rsidRPr="00666BC5">
              <w:rPr>
                <w:rFonts w:cstheme="minorHAnsi"/>
                <w:sz w:val="21"/>
                <w:szCs w:val="21"/>
              </w:rPr>
              <w:t>., a lump-sum payment without collecting receipts).</w:t>
            </w:r>
          </w:p>
          <w:p w14:paraId="3E11B46C" w14:textId="77777777" w:rsidR="00224650" w:rsidRPr="00224650" w:rsidRDefault="00224650" w:rsidP="00666BC5">
            <w:pPr>
              <w:ind w:left="72" w:hanging="72"/>
              <w:rPr>
                <w:rFonts w:cstheme="minorHAnsi"/>
                <w:sz w:val="8"/>
                <w:szCs w:val="8"/>
              </w:rPr>
            </w:pPr>
          </w:p>
          <w:p w14:paraId="785DAEC3" w14:textId="33FC3517" w:rsidR="00121741" w:rsidRPr="009143F3" w:rsidRDefault="00121741" w:rsidP="00666BC5">
            <w:pPr>
              <w:ind w:left="72" w:hanging="72"/>
              <w:rPr>
                <w:rFonts w:cstheme="minorHAnsi"/>
                <w:sz w:val="21"/>
                <w:szCs w:val="21"/>
              </w:rPr>
            </w:pPr>
            <w:r w:rsidRPr="009143F3">
              <w:rPr>
                <w:rFonts w:cstheme="minorHAnsi"/>
                <w:sz w:val="21"/>
                <w:szCs w:val="21"/>
              </w:rPr>
              <w:t xml:space="preserve">Process via </w:t>
            </w:r>
            <w:r w:rsidR="002C6617" w:rsidRPr="009143F3">
              <w:rPr>
                <w:rFonts w:cstheme="minorHAnsi"/>
                <w:sz w:val="21"/>
                <w:szCs w:val="21"/>
              </w:rPr>
              <w:t xml:space="preserve">Payroll or </w:t>
            </w:r>
            <w:r w:rsidR="00E361E1">
              <w:rPr>
                <w:rFonts w:cstheme="minorHAnsi"/>
                <w:sz w:val="21"/>
                <w:szCs w:val="21"/>
              </w:rPr>
              <w:t>B2P</w:t>
            </w:r>
            <w:r w:rsidR="00E361E1" w:rsidRPr="009143F3">
              <w:rPr>
                <w:rFonts w:cstheme="minorHAnsi"/>
                <w:sz w:val="21"/>
                <w:szCs w:val="21"/>
              </w:rPr>
              <w:t xml:space="preserve"> </w:t>
            </w:r>
            <w:r w:rsidRPr="009143F3">
              <w:rPr>
                <w:rFonts w:cstheme="minorHAnsi"/>
                <w:sz w:val="21"/>
                <w:szCs w:val="21"/>
              </w:rPr>
              <w:t>depending on employment status</w:t>
            </w:r>
            <w:r w:rsidR="00181938" w:rsidRPr="009143F3">
              <w:rPr>
                <w:rFonts w:cstheme="minorHAnsi"/>
                <w:sz w:val="21"/>
                <w:szCs w:val="21"/>
              </w:rPr>
              <w:t xml:space="preserve"> and when expenses were incurred</w:t>
            </w:r>
            <w:r w:rsidRPr="009143F3">
              <w:rPr>
                <w:rFonts w:cstheme="minorHAnsi"/>
                <w:sz w:val="21"/>
                <w:szCs w:val="21"/>
              </w:rPr>
              <w:t>.</w:t>
            </w:r>
          </w:p>
        </w:tc>
      </w:tr>
    </w:tbl>
    <w:p w14:paraId="05C80515" w14:textId="0614D662" w:rsidR="008A7CB9" w:rsidRDefault="008A7CB9">
      <w:pPr>
        <w:rPr>
          <w:rFonts w:asciiTheme="minorHAnsi" w:hAnsiTheme="minorHAnsi" w:cstheme="minorHAnsi"/>
          <w:sz w:val="21"/>
          <w:szCs w:val="21"/>
        </w:rPr>
      </w:pPr>
    </w:p>
    <w:p w14:paraId="3915E1E6" w14:textId="77777777" w:rsidR="00D4364D" w:rsidRPr="009143F3" w:rsidRDefault="00D4364D" w:rsidP="00D4364D">
      <w:pPr>
        <w:pStyle w:val="Heading3"/>
        <w:rPr>
          <w:b w:val="0"/>
        </w:rPr>
      </w:pPr>
      <w:r w:rsidRPr="009143F3">
        <w:lastRenderedPageBreak/>
        <w:t>After an offer of employment has been accepted</w:t>
      </w:r>
    </w:p>
    <w:p w14:paraId="07E6B762" w14:textId="25AE17EA" w:rsidR="00D4364D" w:rsidRPr="009F48E6" w:rsidRDefault="00D4364D" w:rsidP="00255595">
      <w:pPr>
        <w:rPr>
          <w:rFonts w:cstheme="minorHAnsi"/>
          <w:sz w:val="21"/>
          <w:szCs w:val="21"/>
        </w:rPr>
      </w:pPr>
      <w:r w:rsidRPr="009F48E6">
        <w:rPr>
          <w:rFonts w:cstheme="minorHAnsi"/>
          <w:sz w:val="21"/>
          <w:szCs w:val="21"/>
        </w:rPr>
        <w:t xml:space="preserve">Any expenses incurred between the time an individual accepts an offer and the job start date are generally considered taxable. These types of payments may include housing expenses (e.g., pre-move new house-hunting costs, moving costs, housing costs), sign on bonus or other contractual or negotiated payments. Harvard </w:t>
      </w:r>
      <w:r w:rsidRPr="009F48E6">
        <w:rPr>
          <w:rFonts w:cstheme="minorHAnsi"/>
          <w:sz w:val="21"/>
          <w:szCs w:val="21"/>
          <w:u w:val="single"/>
        </w:rPr>
        <w:t>should not</w:t>
      </w:r>
      <w:r w:rsidRPr="009F48E6">
        <w:rPr>
          <w:rFonts w:cstheme="minorHAnsi"/>
          <w:sz w:val="21"/>
          <w:szCs w:val="21"/>
        </w:rPr>
        <w:t xml:space="preserve"> pay directly for these expenses (e.g., airfare or lodging expenses paid through BCD or Citibank). These expenses should be a reimbursement to the new employee or paid as additional compensation or 3</w:t>
      </w:r>
      <w:r w:rsidRPr="009F48E6">
        <w:rPr>
          <w:rFonts w:cstheme="minorHAnsi"/>
          <w:sz w:val="21"/>
          <w:szCs w:val="21"/>
          <w:vertAlign w:val="superscript"/>
        </w:rPr>
        <w:t>rd</w:t>
      </w:r>
      <w:r w:rsidRPr="009F48E6">
        <w:rPr>
          <w:rFonts w:cstheme="minorHAnsi"/>
          <w:sz w:val="21"/>
          <w:szCs w:val="21"/>
        </w:rPr>
        <w:t xml:space="preserve"> party payment to a vendor. All payments are at the school or unit’s discretion, if budget and funding allow</w:t>
      </w:r>
      <w:r w:rsidR="00255595">
        <w:rPr>
          <w:rFonts w:cstheme="minorHAnsi"/>
          <w:sz w:val="21"/>
          <w:szCs w:val="21"/>
        </w:rPr>
        <w:t xml:space="preserve">, </w:t>
      </w:r>
      <w:r w:rsidRPr="009F48E6">
        <w:rPr>
          <w:rFonts w:cstheme="minorHAnsi"/>
          <w:sz w:val="21"/>
          <w:szCs w:val="21"/>
        </w:rPr>
        <w:t>and should be agreed-upon in writing through the offer letter or other official correspondence.</w:t>
      </w:r>
      <w:r w:rsidR="00255595">
        <w:rPr>
          <w:rFonts w:cstheme="minorHAnsi"/>
          <w:sz w:val="21"/>
          <w:szCs w:val="21"/>
        </w:rPr>
        <w:t xml:space="preserve"> </w:t>
      </w:r>
      <w:r w:rsidRPr="009F48E6">
        <w:rPr>
          <w:rFonts w:cstheme="minorHAnsi"/>
          <w:sz w:val="21"/>
          <w:szCs w:val="21"/>
        </w:rPr>
        <w:t>Generally, regular commuting expenses are considered personal expenses and cannot be paid or reimbursed as a business expense</w:t>
      </w:r>
      <w:r w:rsidRPr="009F48E6">
        <w:rPr>
          <w:rFonts w:cstheme="minorHAnsi"/>
          <w:sz w:val="21"/>
          <w:szCs w:val="21"/>
          <w:shd w:val="clear" w:color="auto" w:fill="FAF9F8"/>
        </w:rPr>
        <w:t>.</w:t>
      </w:r>
      <w:r w:rsidRPr="009F48E6">
        <w:rPr>
          <w:rFonts w:cstheme="minorHAnsi"/>
          <w:sz w:val="21"/>
          <w:szCs w:val="21"/>
        </w:rPr>
        <w:t xml:space="preserve"> See Harvard’s </w:t>
      </w:r>
      <w:hyperlink r:id="rId28" w:history="1">
        <w:r w:rsidRPr="009F48E6">
          <w:rPr>
            <w:rStyle w:val="Hyperlink"/>
            <w:rFonts w:cstheme="minorHAnsi"/>
            <w:sz w:val="21"/>
            <w:szCs w:val="21"/>
          </w:rPr>
          <w:t>Business Expense Reimbursement Policy</w:t>
        </w:r>
      </w:hyperlink>
      <w:r w:rsidRPr="009F48E6">
        <w:rPr>
          <w:rStyle w:val="Hyperlink"/>
          <w:rFonts w:cstheme="minorHAnsi"/>
          <w:sz w:val="21"/>
          <w:szCs w:val="21"/>
        </w:rPr>
        <w:t xml:space="preserve"> and Addendum</w:t>
      </w:r>
      <w:r w:rsidRPr="009F48E6">
        <w:rPr>
          <w:rFonts w:cstheme="minorHAnsi"/>
          <w:sz w:val="21"/>
          <w:szCs w:val="21"/>
        </w:rPr>
        <w:t xml:space="preserve"> for additional details</w:t>
      </w:r>
      <w:r w:rsidR="00EE3E0C">
        <w:rPr>
          <w:rFonts w:cstheme="minorHAnsi"/>
          <w:sz w:val="21"/>
          <w:szCs w:val="21"/>
        </w:rPr>
        <w:t>.</w:t>
      </w:r>
    </w:p>
    <w:tbl>
      <w:tblPr>
        <w:tblStyle w:val="TableGrid"/>
        <w:tblW w:w="0" w:type="auto"/>
        <w:tblLook w:val="04A0" w:firstRow="1" w:lastRow="0" w:firstColumn="1" w:lastColumn="0" w:noHBand="0" w:noVBand="1"/>
      </w:tblPr>
      <w:tblGrid>
        <w:gridCol w:w="3145"/>
        <w:gridCol w:w="3420"/>
        <w:gridCol w:w="6210"/>
        <w:gridCol w:w="6120"/>
      </w:tblGrid>
      <w:tr w:rsidR="00D4364D" w14:paraId="50AC7B9A" w14:textId="77777777" w:rsidTr="00300397">
        <w:tc>
          <w:tcPr>
            <w:tcW w:w="3145" w:type="dxa"/>
            <w:vAlign w:val="center"/>
          </w:tcPr>
          <w:p w14:paraId="272DF44C" w14:textId="2869CA7B" w:rsidR="00D4364D" w:rsidRDefault="00D4364D" w:rsidP="00A865CF">
            <w:pPr>
              <w:jc w:val="center"/>
              <w:rPr>
                <w:rFonts w:cstheme="minorHAnsi"/>
                <w:sz w:val="21"/>
                <w:szCs w:val="21"/>
              </w:rPr>
            </w:pPr>
            <w:r w:rsidRPr="009143F3">
              <w:rPr>
                <w:rFonts w:cstheme="minorHAnsi"/>
                <w:b/>
                <w:sz w:val="21"/>
                <w:szCs w:val="21"/>
              </w:rPr>
              <w:t>Employee Type</w:t>
            </w:r>
          </w:p>
        </w:tc>
        <w:tc>
          <w:tcPr>
            <w:tcW w:w="3420" w:type="dxa"/>
            <w:vAlign w:val="center"/>
          </w:tcPr>
          <w:p w14:paraId="2901CFFE" w14:textId="7D8990BE" w:rsidR="00D4364D" w:rsidRDefault="00D4364D" w:rsidP="00A865CF">
            <w:pPr>
              <w:jc w:val="center"/>
              <w:rPr>
                <w:rFonts w:cstheme="minorHAnsi"/>
                <w:sz w:val="21"/>
                <w:szCs w:val="21"/>
              </w:rPr>
            </w:pPr>
            <w:r w:rsidRPr="009143F3">
              <w:rPr>
                <w:rFonts w:cstheme="minorHAnsi"/>
                <w:b/>
                <w:sz w:val="21"/>
                <w:szCs w:val="21"/>
              </w:rPr>
              <w:t>Definition</w:t>
            </w:r>
          </w:p>
        </w:tc>
        <w:tc>
          <w:tcPr>
            <w:tcW w:w="6210" w:type="dxa"/>
            <w:vAlign w:val="center"/>
          </w:tcPr>
          <w:p w14:paraId="2182D4D8" w14:textId="77777777" w:rsidR="00D4364D" w:rsidRPr="009143F3" w:rsidRDefault="00D4364D" w:rsidP="00A865CF">
            <w:pPr>
              <w:jc w:val="center"/>
              <w:rPr>
                <w:rFonts w:cstheme="minorHAnsi"/>
                <w:b/>
                <w:sz w:val="21"/>
                <w:szCs w:val="21"/>
              </w:rPr>
            </w:pPr>
            <w:r w:rsidRPr="009143F3">
              <w:rPr>
                <w:rFonts w:cstheme="minorHAnsi"/>
                <w:b/>
                <w:sz w:val="21"/>
                <w:szCs w:val="21"/>
              </w:rPr>
              <w:t>Nontaxable (qualified)</w:t>
            </w:r>
          </w:p>
          <w:p w14:paraId="45950895" w14:textId="1D9770FB" w:rsidR="00D4364D" w:rsidRPr="00937A84" w:rsidRDefault="00D4364D" w:rsidP="006E2B29">
            <w:pPr>
              <w:rPr>
                <w:rFonts w:cstheme="minorHAnsi"/>
                <w:sz w:val="20"/>
                <w:szCs w:val="20"/>
              </w:rPr>
            </w:pPr>
            <w:r w:rsidRPr="00937A84">
              <w:rPr>
                <w:rFonts w:cstheme="minorHAnsi"/>
                <w:sz w:val="20"/>
                <w:szCs w:val="20"/>
              </w:rPr>
              <w:t>The below may be paid at the school or unit’s discretion and if funding and budget allow.</w:t>
            </w:r>
          </w:p>
        </w:tc>
        <w:tc>
          <w:tcPr>
            <w:tcW w:w="6120" w:type="dxa"/>
            <w:vAlign w:val="center"/>
          </w:tcPr>
          <w:p w14:paraId="3D023A35" w14:textId="77777777" w:rsidR="00D4364D" w:rsidRPr="009143F3" w:rsidRDefault="00D4364D" w:rsidP="00A865CF">
            <w:pPr>
              <w:jc w:val="center"/>
              <w:rPr>
                <w:rFonts w:cstheme="minorHAnsi"/>
                <w:b/>
                <w:sz w:val="21"/>
                <w:szCs w:val="21"/>
              </w:rPr>
            </w:pPr>
            <w:r w:rsidRPr="009143F3">
              <w:rPr>
                <w:rFonts w:cstheme="minorHAnsi"/>
                <w:b/>
                <w:sz w:val="21"/>
                <w:szCs w:val="21"/>
              </w:rPr>
              <w:t>Taxable (nonqualified)</w:t>
            </w:r>
          </w:p>
          <w:p w14:paraId="017716A5" w14:textId="2515D0DC" w:rsidR="00D4364D" w:rsidRPr="00937A84" w:rsidRDefault="00D4364D" w:rsidP="006E2B29">
            <w:pPr>
              <w:rPr>
                <w:rFonts w:cstheme="minorHAnsi"/>
                <w:sz w:val="20"/>
                <w:szCs w:val="20"/>
              </w:rPr>
            </w:pPr>
            <w:r w:rsidRPr="00937A84">
              <w:rPr>
                <w:rFonts w:cstheme="minorHAnsi"/>
                <w:sz w:val="20"/>
                <w:szCs w:val="20"/>
              </w:rPr>
              <w:t>The below may be paid at the school or unit’s discretion and if</w:t>
            </w:r>
            <w:r w:rsidR="00093602">
              <w:rPr>
                <w:rFonts w:cstheme="minorHAnsi"/>
                <w:sz w:val="20"/>
                <w:szCs w:val="20"/>
              </w:rPr>
              <w:t xml:space="preserve"> </w:t>
            </w:r>
            <w:r w:rsidRPr="00937A84">
              <w:rPr>
                <w:rFonts w:cstheme="minorHAnsi"/>
                <w:sz w:val="20"/>
                <w:szCs w:val="20"/>
              </w:rPr>
              <w:t>funding and budget allow. Schools and units may choose to gross-up these fees if at their discretion.</w:t>
            </w:r>
          </w:p>
        </w:tc>
      </w:tr>
      <w:tr w:rsidR="00D4364D" w14:paraId="687C5DE0" w14:textId="77777777" w:rsidTr="00300397">
        <w:tc>
          <w:tcPr>
            <w:tcW w:w="3145" w:type="dxa"/>
          </w:tcPr>
          <w:p w14:paraId="021554BF" w14:textId="77777777" w:rsidR="00D4364D" w:rsidRPr="009143F3" w:rsidRDefault="00D4364D" w:rsidP="00D4364D">
            <w:pPr>
              <w:rPr>
                <w:rFonts w:cstheme="minorHAnsi"/>
                <w:sz w:val="21"/>
                <w:szCs w:val="21"/>
              </w:rPr>
            </w:pPr>
            <w:r w:rsidRPr="009143F3">
              <w:rPr>
                <w:rFonts w:cstheme="minorHAnsi"/>
                <w:sz w:val="21"/>
                <w:szCs w:val="21"/>
              </w:rPr>
              <w:t>Biweekly Employees</w:t>
            </w:r>
            <w:r w:rsidRPr="009143F3">
              <w:rPr>
                <w:rFonts w:cstheme="minorHAnsi"/>
                <w:sz w:val="21"/>
                <w:szCs w:val="21"/>
              </w:rPr>
              <w:br/>
              <w:t>Monthly Faculty</w:t>
            </w:r>
            <w:r w:rsidRPr="009143F3">
              <w:rPr>
                <w:rFonts w:cstheme="minorHAnsi"/>
                <w:sz w:val="21"/>
                <w:szCs w:val="21"/>
              </w:rPr>
              <w:br/>
              <w:t>Internal Post Docs</w:t>
            </w:r>
          </w:p>
          <w:p w14:paraId="0760D84A" w14:textId="77777777" w:rsidR="00D4364D" w:rsidRPr="009143F3" w:rsidRDefault="00D4364D" w:rsidP="00D4364D">
            <w:pPr>
              <w:rPr>
                <w:rFonts w:cstheme="minorHAnsi"/>
                <w:sz w:val="16"/>
                <w:szCs w:val="16"/>
              </w:rPr>
            </w:pPr>
          </w:p>
          <w:p w14:paraId="040E9D9D" w14:textId="29564B81" w:rsidR="00D4364D" w:rsidRDefault="00D4364D" w:rsidP="00D4364D">
            <w:pPr>
              <w:rPr>
                <w:rFonts w:cstheme="minorHAnsi"/>
                <w:sz w:val="21"/>
                <w:szCs w:val="21"/>
              </w:rPr>
            </w:pPr>
            <w:r w:rsidRPr="009143F3">
              <w:rPr>
                <w:rFonts w:cstheme="minorHAnsi"/>
                <w:sz w:val="21"/>
                <w:szCs w:val="21"/>
              </w:rPr>
              <w:t>Most common pay groups are POU, PON, PFX, MFC, MIP</w:t>
            </w:r>
          </w:p>
        </w:tc>
        <w:tc>
          <w:tcPr>
            <w:tcW w:w="3420" w:type="dxa"/>
          </w:tcPr>
          <w:p w14:paraId="3FC146BC" w14:textId="6E9B5C4F" w:rsidR="00D4364D" w:rsidRDefault="00D4364D" w:rsidP="00D4364D">
            <w:pPr>
              <w:rPr>
                <w:rFonts w:cstheme="minorHAnsi"/>
                <w:sz w:val="21"/>
                <w:szCs w:val="21"/>
              </w:rPr>
            </w:pPr>
            <w:r w:rsidRPr="009143F3">
              <w:rPr>
                <w:rFonts w:cstheme="minorHAnsi"/>
                <w:sz w:val="21"/>
                <w:szCs w:val="21"/>
              </w:rPr>
              <w:t>Employees hired for more than a year, who are working on behalf of Harvard. Generally, these employees are benefits-eligible.</w:t>
            </w:r>
          </w:p>
        </w:tc>
        <w:tc>
          <w:tcPr>
            <w:tcW w:w="6210" w:type="dxa"/>
          </w:tcPr>
          <w:p w14:paraId="59312617" w14:textId="49D1B3E4" w:rsidR="00D4364D" w:rsidRDefault="00D4364D" w:rsidP="00D4364D">
            <w:pPr>
              <w:pStyle w:val="ListParagraph"/>
              <w:numPr>
                <w:ilvl w:val="0"/>
                <w:numId w:val="15"/>
              </w:numPr>
              <w:ind w:left="252" w:hanging="252"/>
              <w:rPr>
                <w:rFonts w:cstheme="minorHAnsi"/>
                <w:sz w:val="21"/>
                <w:szCs w:val="21"/>
              </w:rPr>
            </w:pPr>
            <w:r w:rsidRPr="009143F3">
              <w:rPr>
                <w:rFonts w:cstheme="minorHAnsi"/>
                <w:sz w:val="21"/>
                <w:szCs w:val="21"/>
              </w:rPr>
              <w:t>Harvard sponsored visa</w:t>
            </w:r>
            <w:r>
              <w:rPr>
                <w:rFonts w:cstheme="minorHAnsi"/>
                <w:sz w:val="21"/>
                <w:szCs w:val="21"/>
                <w:vertAlign w:val="superscript"/>
              </w:rPr>
              <w:t>2</w:t>
            </w:r>
            <w:r w:rsidRPr="009143F3">
              <w:rPr>
                <w:rFonts w:cstheme="minorHAnsi"/>
                <w:sz w:val="21"/>
                <w:szCs w:val="21"/>
              </w:rPr>
              <w:t xml:space="preserve"> as a requirement of the individual’s employment at Harvard. Generally these visa fees are paid directly by Harvard using the </w:t>
            </w:r>
            <w:hyperlink r:id="rId29" w:history="1">
              <w:r w:rsidRPr="00D522D3">
                <w:rPr>
                  <w:rStyle w:val="Hyperlink"/>
                </w:rPr>
                <w:t>Homeland Security Visa Request Payment Form</w:t>
              </w:r>
            </w:hyperlink>
            <w:r w:rsidRPr="009143F3">
              <w:rPr>
                <w:rFonts w:cstheme="minorHAnsi"/>
                <w:sz w:val="21"/>
                <w:szCs w:val="21"/>
              </w:rPr>
              <w:t xml:space="preserve"> and are for tenured or tenure track faculty or senior researchers and are reviewed by and submitted through the Harvard International Office (HIO).</w:t>
            </w:r>
          </w:p>
          <w:p w14:paraId="74C364B3" w14:textId="4D8F2B6D" w:rsidR="00D4364D" w:rsidRPr="00207A2D" w:rsidRDefault="00D4364D" w:rsidP="00D4364D">
            <w:pPr>
              <w:pStyle w:val="ListParagraph"/>
              <w:numPr>
                <w:ilvl w:val="0"/>
                <w:numId w:val="15"/>
              </w:numPr>
              <w:ind w:left="252" w:hanging="252"/>
              <w:rPr>
                <w:rFonts w:cstheme="minorHAnsi"/>
                <w:sz w:val="21"/>
                <w:szCs w:val="21"/>
              </w:rPr>
            </w:pPr>
            <w:r w:rsidRPr="00A865CF">
              <w:rPr>
                <w:rFonts w:cstheme="minorHAnsi"/>
                <w:sz w:val="21"/>
                <w:szCs w:val="21"/>
              </w:rPr>
              <w:t>All legal fees for filing Lawful Permanent Resident (LPR), Green Card, Permanent Residency or other government applications when</w:t>
            </w:r>
            <w:r w:rsidRPr="00207A2D">
              <w:rPr>
                <w:rFonts w:cstheme="minorHAnsi"/>
                <w:sz w:val="21"/>
                <w:szCs w:val="21"/>
              </w:rPr>
              <w:t xml:space="preserve"> a Harvard-sponsored visa. All payments are at the school or unit’s discretion, if the budget and funding allow it and should be agreed-upon in writing.</w:t>
            </w:r>
          </w:p>
        </w:tc>
        <w:tc>
          <w:tcPr>
            <w:tcW w:w="6120" w:type="dxa"/>
          </w:tcPr>
          <w:p w14:paraId="0881E418" w14:textId="77777777" w:rsidR="00D4364D" w:rsidRPr="00093602" w:rsidRDefault="00D4364D" w:rsidP="00694A53">
            <w:pPr>
              <w:pStyle w:val="ListParagraph"/>
              <w:numPr>
                <w:ilvl w:val="0"/>
                <w:numId w:val="15"/>
              </w:numPr>
              <w:ind w:left="166" w:hanging="166"/>
              <w:rPr>
                <w:rFonts w:cstheme="minorHAnsi"/>
                <w:sz w:val="21"/>
                <w:szCs w:val="21"/>
              </w:rPr>
            </w:pPr>
            <w:r w:rsidRPr="00093602">
              <w:rPr>
                <w:rFonts w:cstheme="minorHAnsi"/>
                <w:sz w:val="21"/>
                <w:szCs w:val="21"/>
              </w:rPr>
              <w:t>All moving or house-hunting expenses</w:t>
            </w:r>
          </w:p>
          <w:p w14:paraId="7A182AFB" w14:textId="77777777" w:rsidR="00D4364D" w:rsidRPr="00093602" w:rsidRDefault="00D4364D" w:rsidP="00694A53">
            <w:pPr>
              <w:pStyle w:val="ListParagraph"/>
              <w:numPr>
                <w:ilvl w:val="0"/>
                <w:numId w:val="15"/>
              </w:numPr>
              <w:ind w:left="166" w:hanging="166"/>
              <w:rPr>
                <w:rFonts w:cstheme="minorHAnsi"/>
                <w:sz w:val="21"/>
                <w:szCs w:val="21"/>
              </w:rPr>
            </w:pPr>
            <w:r w:rsidRPr="00093602">
              <w:rPr>
                <w:rFonts w:cstheme="minorHAnsi"/>
                <w:sz w:val="21"/>
                <w:szCs w:val="21"/>
              </w:rPr>
              <w:t>All Visa, Green Card, or Permanent Residency fees and expenses for family members (spouse, children, etc.)</w:t>
            </w:r>
          </w:p>
          <w:p w14:paraId="0C35DD37" w14:textId="77777777" w:rsidR="00D4364D" w:rsidRPr="00093602" w:rsidRDefault="00D4364D" w:rsidP="00694A53">
            <w:pPr>
              <w:pStyle w:val="ListParagraph"/>
              <w:numPr>
                <w:ilvl w:val="0"/>
                <w:numId w:val="15"/>
              </w:numPr>
              <w:ind w:left="166" w:hanging="166"/>
              <w:rPr>
                <w:rFonts w:cstheme="minorHAnsi"/>
                <w:sz w:val="21"/>
                <w:szCs w:val="21"/>
              </w:rPr>
            </w:pPr>
            <w:r w:rsidRPr="00093602">
              <w:rPr>
                <w:rFonts w:cstheme="minorHAnsi"/>
                <w:sz w:val="21"/>
                <w:szCs w:val="21"/>
              </w:rPr>
              <w:t>All Visa fees and expenses for changes in personal status (e.g., marriage, name change, etc.).</w:t>
            </w:r>
          </w:p>
          <w:p w14:paraId="09744E8A" w14:textId="07B460F5" w:rsidR="00D4364D" w:rsidRPr="00093602" w:rsidRDefault="00D4364D" w:rsidP="00694A53">
            <w:pPr>
              <w:pStyle w:val="ListParagraph"/>
              <w:numPr>
                <w:ilvl w:val="0"/>
                <w:numId w:val="15"/>
              </w:numPr>
              <w:ind w:left="166" w:hanging="166"/>
              <w:rPr>
                <w:rFonts w:cstheme="minorHAnsi"/>
                <w:sz w:val="21"/>
                <w:szCs w:val="21"/>
              </w:rPr>
            </w:pPr>
            <w:r w:rsidRPr="00093602">
              <w:rPr>
                <w:rFonts w:cstheme="minorHAnsi"/>
                <w:sz w:val="21"/>
                <w:szCs w:val="21"/>
              </w:rPr>
              <w:t>All legal or other visa filing fees or expenses for family members.</w:t>
            </w:r>
          </w:p>
          <w:p w14:paraId="06FB0F08" w14:textId="4DF5C984" w:rsidR="00D4364D" w:rsidRPr="00093602" w:rsidRDefault="00D4364D" w:rsidP="00694A53">
            <w:pPr>
              <w:pStyle w:val="ListParagraph"/>
              <w:numPr>
                <w:ilvl w:val="0"/>
                <w:numId w:val="15"/>
              </w:numPr>
              <w:ind w:left="166" w:hanging="166"/>
              <w:rPr>
                <w:rFonts w:cstheme="minorHAnsi"/>
                <w:sz w:val="21"/>
                <w:szCs w:val="21"/>
              </w:rPr>
            </w:pPr>
            <w:r w:rsidRPr="00093602">
              <w:rPr>
                <w:rFonts w:cstheme="minorHAnsi"/>
                <w:sz w:val="21"/>
                <w:szCs w:val="21"/>
              </w:rPr>
              <w:t>All legal or other visa filing fees or expenses for changes in any family member’s personal status (e.g., marriage, name change, etc.)</w:t>
            </w:r>
          </w:p>
        </w:tc>
      </w:tr>
      <w:tr w:rsidR="00D4364D" w14:paraId="04B25B1F" w14:textId="77777777" w:rsidTr="00300397">
        <w:tc>
          <w:tcPr>
            <w:tcW w:w="3145" w:type="dxa"/>
          </w:tcPr>
          <w:p w14:paraId="6940AE6F" w14:textId="77777777" w:rsidR="00D4364D" w:rsidRPr="009143F3" w:rsidRDefault="00D4364D" w:rsidP="00D4364D">
            <w:pPr>
              <w:rPr>
                <w:rFonts w:cstheme="minorHAnsi"/>
                <w:sz w:val="21"/>
                <w:szCs w:val="21"/>
              </w:rPr>
            </w:pPr>
            <w:r w:rsidRPr="009143F3">
              <w:rPr>
                <w:rFonts w:cstheme="minorHAnsi"/>
                <w:sz w:val="21"/>
                <w:szCs w:val="21"/>
              </w:rPr>
              <w:t>Temporary Employees</w:t>
            </w:r>
          </w:p>
          <w:p w14:paraId="7170BE39" w14:textId="77777777" w:rsidR="00D4364D" w:rsidRPr="009143F3" w:rsidRDefault="00D4364D" w:rsidP="00D4364D">
            <w:pPr>
              <w:rPr>
                <w:rFonts w:cstheme="minorHAnsi"/>
                <w:sz w:val="21"/>
                <w:szCs w:val="21"/>
              </w:rPr>
            </w:pPr>
            <w:r w:rsidRPr="009143F3">
              <w:rPr>
                <w:rFonts w:cstheme="minorHAnsi"/>
                <w:sz w:val="21"/>
                <w:szCs w:val="21"/>
              </w:rPr>
              <w:t>Monthly Teaching Fellow</w:t>
            </w:r>
          </w:p>
          <w:p w14:paraId="0D3E921D" w14:textId="77777777" w:rsidR="00D4364D" w:rsidRPr="009143F3" w:rsidRDefault="00D4364D" w:rsidP="00D4364D">
            <w:pPr>
              <w:rPr>
                <w:rFonts w:cstheme="minorHAnsi"/>
                <w:sz w:val="21"/>
                <w:szCs w:val="21"/>
              </w:rPr>
            </w:pPr>
            <w:r w:rsidRPr="009143F3">
              <w:rPr>
                <w:rFonts w:cstheme="minorHAnsi"/>
                <w:sz w:val="21"/>
                <w:szCs w:val="21"/>
              </w:rPr>
              <w:t>External Post Doc</w:t>
            </w:r>
          </w:p>
          <w:p w14:paraId="34780A53" w14:textId="77777777" w:rsidR="00D4364D" w:rsidRPr="009143F3" w:rsidRDefault="00D4364D" w:rsidP="00D4364D">
            <w:pPr>
              <w:rPr>
                <w:rFonts w:cstheme="minorHAnsi"/>
                <w:sz w:val="16"/>
                <w:szCs w:val="16"/>
              </w:rPr>
            </w:pPr>
          </w:p>
          <w:p w14:paraId="062A4E85" w14:textId="7C30D6EF" w:rsidR="00D4364D" w:rsidRDefault="00D4364D" w:rsidP="00D4364D">
            <w:pPr>
              <w:rPr>
                <w:rFonts w:cstheme="minorHAnsi"/>
                <w:sz w:val="21"/>
                <w:szCs w:val="21"/>
              </w:rPr>
            </w:pPr>
            <w:r w:rsidRPr="009143F3">
              <w:rPr>
                <w:rFonts w:cstheme="minorHAnsi"/>
                <w:sz w:val="21"/>
                <w:szCs w:val="21"/>
              </w:rPr>
              <w:t>Often called Nonemployee Fellows or Stipendee. The most common pay groups are: WTM, MTF, MEP</w:t>
            </w:r>
          </w:p>
        </w:tc>
        <w:tc>
          <w:tcPr>
            <w:tcW w:w="3420" w:type="dxa"/>
          </w:tcPr>
          <w:p w14:paraId="2012E643" w14:textId="142ED581" w:rsidR="00D4364D" w:rsidRDefault="00D4364D" w:rsidP="00D4364D">
            <w:pPr>
              <w:rPr>
                <w:rFonts w:cstheme="minorHAnsi"/>
                <w:sz w:val="21"/>
                <w:szCs w:val="21"/>
              </w:rPr>
            </w:pPr>
            <w:r w:rsidRPr="00A0090F">
              <w:rPr>
                <w:rFonts w:cstheme="minorHAnsi"/>
                <w:sz w:val="21"/>
                <w:szCs w:val="21"/>
              </w:rPr>
              <w:t>Generally, payments to support an individual in the pursuit of their professional development, personal learning or scholarship or to fund their own research activities are considered fellowship payments and considered taxable.</w:t>
            </w:r>
            <w:r>
              <w:rPr>
                <w:rFonts w:cstheme="minorHAnsi"/>
                <w:sz w:val="21"/>
                <w:szCs w:val="21"/>
              </w:rPr>
              <w:t xml:space="preserve"> </w:t>
            </w:r>
            <w:r w:rsidRPr="00A0090F">
              <w:rPr>
                <w:rFonts w:cstheme="minorHAnsi"/>
                <w:sz w:val="21"/>
                <w:szCs w:val="21"/>
              </w:rPr>
              <w:t xml:space="preserve">See </w:t>
            </w:r>
            <w:hyperlink r:id="rId30" w:history="1">
              <w:r w:rsidRPr="008A1949">
                <w:rPr>
                  <w:rStyle w:val="Hyperlink"/>
                  <w:sz w:val="21"/>
                  <w:szCs w:val="21"/>
                </w:rPr>
                <w:t xml:space="preserve">Fellowship Payments </w:t>
              </w:r>
              <w:r w:rsidR="00A865CF">
                <w:rPr>
                  <w:rStyle w:val="Hyperlink"/>
                  <w:sz w:val="21"/>
                  <w:szCs w:val="21"/>
                </w:rPr>
                <w:t xml:space="preserve">&amp; </w:t>
              </w:r>
              <w:r w:rsidRPr="008A1949">
                <w:rPr>
                  <w:rStyle w:val="Hyperlink"/>
                  <w:sz w:val="21"/>
                  <w:szCs w:val="21"/>
                </w:rPr>
                <w:t xml:space="preserve">Reimbursements for Students </w:t>
              </w:r>
              <w:r w:rsidRPr="008A1949">
                <w:rPr>
                  <w:rStyle w:val="Hyperlink"/>
                  <w:b w:val="0"/>
                  <w:color w:val="auto"/>
                  <w:sz w:val="21"/>
                  <w:szCs w:val="21"/>
                </w:rPr>
                <w:t>and</w:t>
              </w:r>
              <w:r w:rsidRPr="008A1949">
                <w:rPr>
                  <w:rStyle w:val="Hyperlink"/>
                  <w:color w:val="auto"/>
                  <w:sz w:val="21"/>
                  <w:szCs w:val="21"/>
                </w:rPr>
                <w:t xml:space="preserve"> </w:t>
              </w:r>
              <w:r w:rsidRPr="008A1949">
                <w:rPr>
                  <w:rStyle w:val="Hyperlink"/>
                  <w:sz w:val="21"/>
                  <w:szCs w:val="21"/>
                </w:rPr>
                <w:t>Non-employee Postdocs/Fellows Policy</w:t>
              </w:r>
            </w:hyperlink>
            <w:r w:rsidRPr="008A1949">
              <w:rPr>
                <w:rStyle w:val="Hyperlink"/>
                <w:sz w:val="21"/>
                <w:szCs w:val="21"/>
              </w:rPr>
              <w:t xml:space="preserve"> </w:t>
            </w:r>
            <w:r w:rsidR="00A865CF">
              <w:rPr>
                <w:rStyle w:val="Hyperlink"/>
                <w:sz w:val="21"/>
                <w:szCs w:val="21"/>
              </w:rPr>
              <w:t xml:space="preserve">&amp; </w:t>
            </w:r>
            <w:hyperlink r:id="rId31" w:history="1">
              <w:r w:rsidRPr="008A1949">
                <w:rPr>
                  <w:rStyle w:val="Hyperlink"/>
                  <w:sz w:val="21"/>
                  <w:szCs w:val="21"/>
                </w:rPr>
                <w:t>Classification of Employee Fellow vs Nonemployee Fellow</w:t>
              </w:r>
            </w:hyperlink>
          </w:p>
        </w:tc>
        <w:tc>
          <w:tcPr>
            <w:tcW w:w="6210" w:type="dxa"/>
          </w:tcPr>
          <w:p w14:paraId="101856AF" w14:textId="73B02219" w:rsidR="00D4364D" w:rsidRDefault="00D4364D" w:rsidP="00D4364D">
            <w:pPr>
              <w:rPr>
                <w:rFonts w:cstheme="minorHAnsi"/>
                <w:sz w:val="21"/>
                <w:szCs w:val="21"/>
              </w:rPr>
            </w:pPr>
            <w:r w:rsidRPr="00A0090F">
              <w:rPr>
                <w:rFonts w:cstheme="minorHAnsi"/>
                <w:sz w:val="21"/>
                <w:szCs w:val="21"/>
              </w:rPr>
              <w:t>N/A</w:t>
            </w:r>
          </w:p>
        </w:tc>
        <w:tc>
          <w:tcPr>
            <w:tcW w:w="6120" w:type="dxa"/>
          </w:tcPr>
          <w:p w14:paraId="47191E87" w14:textId="77777777" w:rsidR="00D4364D" w:rsidRPr="00386AAD" w:rsidRDefault="00D4364D" w:rsidP="00694A53">
            <w:pPr>
              <w:pStyle w:val="ListParagraph"/>
              <w:numPr>
                <w:ilvl w:val="0"/>
                <w:numId w:val="9"/>
              </w:numPr>
              <w:ind w:left="166" w:hanging="166"/>
              <w:rPr>
                <w:rFonts w:cstheme="minorHAnsi"/>
                <w:sz w:val="21"/>
                <w:szCs w:val="21"/>
              </w:rPr>
            </w:pPr>
            <w:r w:rsidRPr="00386AAD">
              <w:rPr>
                <w:rFonts w:cstheme="minorHAnsi"/>
                <w:sz w:val="21"/>
                <w:szCs w:val="21"/>
              </w:rPr>
              <w:t>Non-sponsored Harvard visas</w:t>
            </w:r>
          </w:p>
          <w:p w14:paraId="29B50E37" w14:textId="77777777" w:rsidR="00D4364D" w:rsidRPr="00386AAD" w:rsidRDefault="00D4364D" w:rsidP="00694A53">
            <w:pPr>
              <w:pStyle w:val="ListParagraph"/>
              <w:numPr>
                <w:ilvl w:val="0"/>
                <w:numId w:val="9"/>
              </w:numPr>
              <w:ind w:left="166" w:hanging="166"/>
              <w:rPr>
                <w:rFonts w:cstheme="minorHAnsi"/>
                <w:sz w:val="21"/>
                <w:szCs w:val="21"/>
              </w:rPr>
            </w:pPr>
            <w:r w:rsidRPr="00386AAD">
              <w:rPr>
                <w:rFonts w:cstheme="minorHAnsi"/>
                <w:sz w:val="21"/>
                <w:szCs w:val="21"/>
              </w:rPr>
              <w:t>Visas that Harvard may process for individuals coming to Harvard where the work being completed is not for the primary benefit of Harvard (i.e., for individual’s own individual research, training or professional development).</w:t>
            </w:r>
          </w:p>
          <w:p w14:paraId="21EF2069" w14:textId="77777777" w:rsidR="00D4364D" w:rsidRPr="00386AAD" w:rsidRDefault="00D4364D" w:rsidP="00694A53">
            <w:pPr>
              <w:pStyle w:val="ListParagraph"/>
              <w:numPr>
                <w:ilvl w:val="0"/>
                <w:numId w:val="9"/>
              </w:numPr>
              <w:ind w:left="166" w:hanging="166"/>
              <w:rPr>
                <w:rFonts w:cstheme="minorHAnsi"/>
                <w:sz w:val="21"/>
                <w:szCs w:val="21"/>
              </w:rPr>
            </w:pPr>
            <w:r w:rsidRPr="00386AAD">
              <w:rPr>
                <w:rFonts w:cstheme="minorHAnsi"/>
                <w:sz w:val="21"/>
                <w:szCs w:val="21"/>
              </w:rPr>
              <w:t xml:space="preserve">Moving Expenses </w:t>
            </w:r>
          </w:p>
          <w:p w14:paraId="6DBB1A1C" w14:textId="03EA1656" w:rsidR="00D4364D" w:rsidRPr="00386AAD" w:rsidRDefault="00D4364D" w:rsidP="00694A53">
            <w:pPr>
              <w:pStyle w:val="ListParagraph"/>
              <w:numPr>
                <w:ilvl w:val="0"/>
                <w:numId w:val="9"/>
              </w:numPr>
              <w:ind w:left="166" w:hanging="166"/>
              <w:rPr>
                <w:rFonts w:cstheme="minorHAnsi"/>
                <w:sz w:val="21"/>
                <w:szCs w:val="21"/>
              </w:rPr>
            </w:pPr>
            <w:r w:rsidRPr="00386AAD">
              <w:rPr>
                <w:rFonts w:cstheme="minorHAnsi"/>
                <w:sz w:val="21"/>
                <w:szCs w:val="21"/>
              </w:rPr>
              <w:t>Research</w:t>
            </w:r>
            <w:r w:rsidR="009A7984">
              <w:rPr>
                <w:rFonts w:cstheme="minorHAnsi"/>
                <w:sz w:val="21"/>
                <w:szCs w:val="21"/>
              </w:rPr>
              <w:t xml:space="preserve">, Living, </w:t>
            </w:r>
            <w:r w:rsidRPr="00386AAD">
              <w:rPr>
                <w:rFonts w:cstheme="minorHAnsi"/>
                <w:sz w:val="21"/>
                <w:szCs w:val="21"/>
              </w:rPr>
              <w:t>or Travel Allowances</w:t>
            </w:r>
          </w:p>
          <w:p w14:paraId="10C22FD9" w14:textId="3DE58654" w:rsidR="00D4364D" w:rsidRPr="00386AAD" w:rsidRDefault="00D4364D" w:rsidP="00694A53">
            <w:pPr>
              <w:pStyle w:val="ListParagraph"/>
              <w:numPr>
                <w:ilvl w:val="0"/>
                <w:numId w:val="9"/>
              </w:numPr>
              <w:ind w:left="166" w:hanging="166"/>
              <w:rPr>
                <w:rFonts w:cstheme="minorHAnsi"/>
                <w:sz w:val="21"/>
                <w:szCs w:val="21"/>
              </w:rPr>
            </w:pPr>
            <w:r w:rsidRPr="00386AAD">
              <w:rPr>
                <w:rFonts w:cstheme="minorHAnsi"/>
                <w:sz w:val="21"/>
                <w:szCs w:val="21"/>
              </w:rPr>
              <w:t xml:space="preserve">Stipends – see </w:t>
            </w:r>
            <w:r w:rsidRPr="00386AAD">
              <w:rPr>
                <w:sz w:val="21"/>
                <w:szCs w:val="21"/>
              </w:rPr>
              <w:t>classification policies at left.</w:t>
            </w:r>
            <w:r w:rsidRPr="00386AAD" w:rsidDel="005F7A83">
              <w:rPr>
                <w:rStyle w:val="Hyperlink"/>
                <w:sz w:val="21"/>
                <w:szCs w:val="21"/>
              </w:rPr>
              <w:t xml:space="preserve"> </w:t>
            </w:r>
          </w:p>
        </w:tc>
      </w:tr>
    </w:tbl>
    <w:p w14:paraId="6DAC67DB" w14:textId="0A1928D5" w:rsidR="002A1BE9" w:rsidRDefault="002A1BE9">
      <w:pPr>
        <w:rPr>
          <w:rFonts w:asciiTheme="minorHAnsi" w:hAnsiTheme="minorHAnsi" w:cstheme="minorHAnsi"/>
          <w:sz w:val="21"/>
          <w:szCs w:val="21"/>
        </w:rPr>
      </w:pPr>
    </w:p>
    <w:p w14:paraId="51547AD7" w14:textId="40B8929A" w:rsidR="00B53962" w:rsidRDefault="00B53962">
      <w:pPr>
        <w:spacing w:after="160" w:line="259" w:lineRule="auto"/>
        <w:rPr>
          <w:rFonts w:asciiTheme="minorHAnsi" w:hAnsiTheme="minorHAnsi" w:cstheme="minorHAnsi"/>
          <w:sz w:val="21"/>
          <w:szCs w:val="21"/>
        </w:rPr>
      </w:pPr>
      <w:r>
        <w:rPr>
          <w:rFonts w:asciiTheme="minorHAnsi" w:hAnsiTheme="minorHAnsi" w:cstheme="minorHAnsi"/>
          <w:sz w:val="21"/>
          <w:szCs w:val="21"/>
        </w:rPr>
        <w:br w:type="page"/>
      </w:r>
    </w:p>
    <w:p w14:paraId="03DCEF3F" w14:textId="77777777" w:rsidR="00A80342" w:rsidRPr="009143F3" w:rsidRDefault="00A80342">
      <w:pPr>
        <w:rPr>
          <w:rFonts w:asciiTheme="minorHAnsi" w:hAnsiTheme="minorHAnsi" w:cstheme="minorHAnsi"/>
          <w:sz w:val="21"/>
          <w:szCs w:val="21"/>
        </w:rPr>
      </w:pPr>
    </w:p>
    <w:tbl>
      <w:tblPr>
        <w:tblStyle w:val="TableGrid"/>
        <w:tblW w:w="18895" w:type="dxa"/>
        <w:tblLook w:val="04A0" w:firstRow="1" w:lastRow="0" w:firstColumn="1" w:lastColumn="0" w:noHBand="0" w:noVBand="1"/>
      </w:tblPr>
      <w:tblGrid>
        <w:gridCol w:w="2515"/>
        <w:gridCol w:w="5580"/>
        <w:gridCol w:w="4140"/>
        <w:gridCol w:w="6660"/>
      </w:tblGrid>
      <w:tr w:rsidR="009143F3" w:rsidRPr="009143F3" w14:paraId="7E25859D" w14:textId="77777777" w:rsidTr="00300397">
        <w:tc>
          <w:tcPr>
            <w:tcW w:w="2515" w:type="dxa"/>
            <w:vAlign w:val="center"/>
          </w:tcPr>
          <w:p w14:paraId="3CA11437" w14:textId="5E829E97" w:rsidR="003C2272" w:rsidRPr="009143F3" w:rsidRDefault="004C595C" w:rsidP="004C595C">
            <w:pPr>
              <w:jc w:val="center"/>
              <w:rPr>
                <w:rFonts w:cstheme="minorHAnsi"/>
                <w:b/>
                <w:sz w:val="21"/>
                <w:szCs w:val="21"/>
              </w:rPr>
            </w:pPr>
            <w:r w:rsidRPr="009143F3">
              <w:rPr>
                <w:rFonts w:cstheme="minorHAnsi"/>
                <w:b/>
                <w:sz w:val="21"/>
                <w:szCs w:val="21"/>
              </w:rPr>
              <w:t>Additional Contractual Considerations</w:t>
            </w:r>
          </w:p>
        </w:tc>
        <w:tc>
          <w:tcPr>
            <w:tcW w:w="5580" w:type="dxa"/>
            <w:vAlign w:val="center"/>
          </w:tcPr>
          <w:p w14:paraId="0A9143C5" w14:textId="4732FE4E" w:rsidR="00A80342" w:rsidRPr="009143F3" w:rsidRDefault="00A80342" w:rsidP="00D2283E">
            <w:pPr>
              <w:jc w:val="center"/>
              <w:rPr>
                <w:rFonts w:cstheme="minorHAnsi"/>
                <w:sz w:val="21"/>
                <w:szCs w:val="21"/>
              </w:rPr>
            </w:pPr>
            <w:r w:rsidRPr="009143F3">
              <w:rPr>
                <w:rFonts w:cstheme="minorHAnsi"/>
                <w:b/>
                <w:sz w:val="21"/>
                <w:szCs w:val="21"/>
              </w:rPr>
              <w:t>Definition</w:t>
            </w:r>
          </w:p>
        </w:tc>
        <w:tc>
          <w:tcPr>
            <w:tcW w:w="4140" w:type="dxa"/>
            <w:vAlign w:val="center"/>
          </w:tcPr>
          <w:p w14:paraId="093356B8" w14:textId="77777777" w:rsidR="00A80342" w:rsidRPr="009143F3" w:rsidRDefault="00A80342" w:rsidP="00D2283E">
            <w:pPr>
              <w:jc w:val="center"/>
              <w:rPr>
                <w:rFonts w:cstheme="minorHAnsi"/>
                <w:b/>
                <w:sz w:val="21"/>
                <w:szCs w:val="21"/>
              </w:rPr>
            </w:pPr>
            <w:r w:rsidRPr="009143F3">
              <w:rPr>
                <w:rFonts w:cstheme="minorHAnsi"/>
                <w:b/>
                <w:sz w:val="21"/>
                <w:szCs w:val="21"/>
              </w:rPr>
              <w:t>Nontaxable (qualified)</w:t>
            </w:r>
          </w:p>
          <w:p w14:paraId="01E1A27B" w14:textId="5B348731" w:rsidR="00A80342" w:rsidRPr="009143F3" w:rsidRDefault="00A80342" w:rsidP="00D2283E">
            <w:pPr>
              <w:jc w:val="center"/>
              <w:rPr>
                <w:rFonts w:cstheme="minorHAnsi"/>
                <w:b/>
                <w:sz w:val="21"/>
                <w:szCs w:val="21"/>
              </w:rPr>
            </w:pPr>
            <w:r w:rsidRPr="009143F3">
              <w:rPr>
                <w:rFonts w:cstheme="minorHAnsi"/>
                <w:sz w:val="21"/>
                <w:szCs w:val="21"/>
              </w:rPr>
              <w:t>The below may be paid at the school or unit’s discretion and if the funding and budget allows.</w:t>
            </w:r>
          </w:p>
        </w:tc>
        <w:tc>
          <w:tcPr>
            <w:tcW w:w="6660" w:type="dxa"/>
            <w:vAlign w:val="center"/>
          </w:tcPr>
          <w:p w14:paraId="66A48030" w14:textId="77777777" w:rsidR="00A80342" w:rsidRPr="009143F3" w:rsidRDefault="00A80342" w:rsidP="00D2283E">
            <w:pPr>
              <w:jc w:val="center"/>
              <w:rPr>
                <w:rFonts w:cstheme="minorHAnsi"/>
                <w:b/>
                <w:sz w:val="21"/>
                <w:szCs w:val="21"/>
              </w:rPr>
            </w:pPr>
            <w:r w:rsidRPr="009143F3">
              <w:rPr>
                <w:rFonts w:cstheme="minorHAnsi"/>
                <w:b/>
                <w:sz w:val="21"/>
                <w:szCs w:val="21"/>
              </w:rPr>
              <w:t>Taxable (nonqualified)</w:t>
            </w:r>
          </w:p>
          <w:p w14:paraId="4822E7DB" w14:textId="18770843" w:rsidR="00A80342" w:rsidRPr="009143F3" w:rsidRDefault="00A80342" w:rsidP="00D2283E">
            <w:pPr>
              <w:jc w:val="center"/>
              <w:rPr>
                <w:rFonts w:cstheme="minorHAnsi"/>
                <w:sz w:val="21"/>
                <w:szCs w:val="21"/>
              </w:rPr>
            </w:pPr>
            <w:r w:rsidRPr="009143F3">
              <w:rPr>
                <w:rFonts w:cstheme="minorHAnsi"/>
                <w:sz w:val="21"/>
                <w:szCs w:val="21"/>
              </w:rPr>
              <w:t>The below may be paid at the school or unit’s discretion and if the funding and budget allows</w:t>
            </w:r>
            <w:r w:rsidR="007410A7" w:rsidRPr="009143F3">
              <w:rPr>
                <w:rFonts w:cstheme="minorHAnsi"/>
                <w:sz w:val="21"/>
                <w:szCs w:val="21"/>
              </w:rPr>
              <w:t>.</w:t>
            </w:r>
            <w:r w:rsidRPr="009143F3">
              <w:rPr>
                <w:rFonts w:cstheme="minorHAnsi"/>
                <w:sz w:val="21"/>
                <w:szCs w:val="21"/>
              </w:rPr>
              <w:t xml:space="preserve"> </w:t>
            </w:r>
            <w:r w:rsidR="001A0821" w:rsidRPr="009143F3">
              <w:rPr>
                <w:rFonts w:cstheme="minorHAnsi"/>
                <w:sz w:val="21"/>
                <w:szCs w:val="21"/>
              </w:rPr>
              <w:t xml:space="preserve">Schools and units </w:t>
            </w:r>
            <w:r w:rsidRPr="009143F3">
              <w:rPr>
                <w:rFonts w:cstheme="minorHAnsi"/>
                <w:sz w:val="21"/>
                <w:szCs w:val="21"/>
              </w:rPr>
              <w:t>may choose to gross-up these fees if at their discretion.</w:t>
            </w:r>
          </w:p>
        </w:tc>
      </w:tr>
      <w:tr w:rsidR="009143F3" w:rsidRPr="009143F3" w14:paraId="6CF45A9C" w14:textId="77777777" w:rsidTr="00300397">
        <w:tc>
          <w:tcPr>
            <w:tcW w:w="2515" w:type="dxa"/>
          </w:tcPr>
          <w:p w14:paraId="18F6DCD2" w14:textId="6C0E3F59" w:rsidR="00A80342" w:rsidRPr="009143F3" w:rsidRDefault="00091059" w:rsidP="00A80342">
            <w:pPr>
              <w:rPr>
                <w:rFonts w:cstheme="minorHAnsi"/>
                <w:sz w:val="21"/>
                <w:szCs w:val="21"/>
              </w:rPr>
            </w:pPr>
            <w:r w:rsidRPr="009143F3">
              <w:rPr>
                <w:rFonts w:cstheme="minorHAnsi"/>
                <w:sz w:val="21"/>
                <w:szCs w:val="21"/>
              </w:rPr>
              <w:t>Other Housing</w:t>
            </w:r>
          </w:p>
        </w:tc>
        <w:tc>
          <w:tcPr>
            <w:tcW w:w="5580" w:type="dxa"/>
          </w:tcPr>
          <w:p w14:paraId="75ACF039" w14:textId="77777777" w:rsidR="00A80342" w:rsidRPr="009143F3" w:rsidRDefault="00A80342" w:rsidP="00A80342">
            <w:pPr>
              <w:rPr>
                <w:rFonts w:cstheme="minorHAnsi"/>
                <w:sz w:val="21"/>
                <w:szCs w:val="21"/>
              </w:rPr>
            </w:pPr>
            <w:r w:rsidRPr="009143F3">
              <w:rPr>
                <w:rFonts w:cstheme="minorHAnsi"/>
                <w:sz w:val="21"/>
                <w:szCs w:val="21"/>
              </w:rPr>
              <w:t xml:space="preserve">Harvard employees who are required as part of their job to live in Harvard housing may have special considerations. </w:t>
            </w:r>
          </w:p>
          <w:p w14:paraId="2B8F80DF" w14:textId="77777777" w:rsidR="00300397" w:rsidRPr="00224650" w:rsidRDefault="00300397" w:rsidP="00300397">
            <w:pPr>
              <w:rPr>
                <w:rFonts w:cstheme="minorHAnsi"/>
                <w:sz w:val="8"/>
                <w:szCs w:val="8"/>
              </w:rPr>
            </w:pPr>
          </w:p>
          <w:p w14:paraId="51823270" w14:textId="3991806B" w:rsidR="00A80342" w:rsidRPr="009143F3" w:rsidRDefault="00A80342" w:rsidP="00A80342">
            <w:pPr>
              <w:rPr>
                <w:rFonts w:cstheme="minorHAnsi"/>
                <w:sz w:val="21"/>
                <w:szCs w:val="21"/>
              </w:rPr>
            </w:pPr>
            <w:r w:rsidRPr="009143F3">
              <w:rPr>
                <w:rFonts w:cstheme="minorHAnsi"/>
                <w:sz w:val="21"/>
                <w:szCs w:val="21"/>
              </w:rPr>
              <w:t>Examples: University President or Dean, Clergy, House Heads</w:t>
            </w:r>
            <w:r w:rsidR="00BC683C" w:rsidRPr="009143F3">
              <w:rPr>
                <w:rFonts w:cstheme="minorHAnsi"/>
                <w:sz w:val="21"/>
                <w:szCs w:val="21"/>
              </w:rPr>
              <w:t xml:space="preserve"> required to live in Harvard housing.</w:t>
            </w:r>
          </w:p>
        </w:tc>
        <w:tc>
          <w:tcPr>
            <w:tcW w:w="4140" w:type="dxa"/>
          </w:tcPr>
          <w:p w14:paraId="46D240AE" w14:textId="77777777" w:rsidR="00A80342" w:rsidRPr="009143F3" w:rsidRDefault="00A80342" w:rsidP="00A80342">
            <w:pPr>
              <w:pStyle w:val="ListParagraph"/>
              <w:numPr>
                <w:ilvl w:val="0"/>
                <w:numId w:val="18"/>
              </w:numPr>
              <w:rPr>
                <w:rFonts w:cstheme="minorHAnsi"/>
                <w:sz w:val="21"/>
                <w:szCs w:val="21"/>
              </w:rPr>
            </w:pPr>
            <w:r w:rsidRPr="009143F3">
              <w:rPr>
                <w:rFonts w:cstheme="minorHAnsi"/>
                <w:sz w:val="21"/>
                <w:szCs w:val="21"/>
              </w:rPr>
              <w:t>Expenses related to the upkeep of the Harvard-owned property are generally paid directly by Harvard.</w:t>
            </w:r>
          </w:p>
          <w:p w14:paraId="0AD5DDD7" w14:textId="3021AE04" w:rsidR="00A80342" w:rsidRPr="009143F3" w:rsidRDefault="00A80342" w:rsidP="00826E67">
            <w:pPr>
              <w:pStyle w:val="ListParagraph"/>
              <w:numPr>
                <w:ilvl w:val="0"/>
                <w:numId w:val="18"/>
              </w:numPr>
              <w:rPr>
                <w:rFonts w:cstheme="minorHAnsi"/>
                <w:sz w:val="21"/>
                <w:szCs w:val="21"/>
              </w:rPr>
            </w:pPr>
            <w:r w:rsidRPr="009143F3">
              <w:rPr>
                <w:rFonts w:cstheme="minorHAnsi"/>
                <w:sz w:val="21"/>
                <w:szCs w:val="21"/>
              </w:rPr>
              <w:t>Consumable supplies used for Harvard business (e.g., public quarters of the house).</w:t>
            </w:r>
          </w:p>
        </w:tc>
        <w:tc>
          <w:tcPr>
            <w:tcW w:w="6660" w:type="dxa"/>
          </w:tcPr>
          <w:p w14:paraId="55A946E4" w14:textId="34ECC5A3" w:rsidR="00A80342" w:rsidRPr="009143F3" w:rsidRDefault="00A80342" w:rsidP="00A80342">
            <w:pPr>
              <w:pStyle w:val="ListParagraph"/>
              <w:numPr>
                <w:ilvl w:val="0"/>
                <w:numId w:val="9"/>
              </w:numPr>
              <w:ind w:left="252" w:hanging="252"/>
              <w:rPr>
                <w:rFonts w:cstheme="minorHAnsi"/>
                <w:sz w:val="21"/>
                <w:szCs w:val="21"/>
              </w:rPr>
            </w:pPr>
            <w:r w:rsidRPr="009143F3">
              <w:rPr>
                <w:rFonts w:cstheme="minorHAnsi"/>
                <w:sz w:val="21"/>
                <w:szCs w:val="21"/>
              </w:rPr>
              <w:t>Personal household expenses. This includes expenses such as furniture, general household items, consumable supplies, etc. that are for personal use or used in the private quarters of a Harvard-owned residence.</w:t>
            </w:r>
          </w:p>
          <w:p w14:paraId="49AC2AD7" w14:textId="1D7C794C" w:rsidR="00A80342" w:rsidRPr="009143F3" w:rsidRDefault="00A80342">
            <w:pPr>
              <w:pStyle w:val="ListParagraph"/>
              <w:numPr>
                <w:ilvl w:val="0"/>
                <w:numId w:val="9"/>
              </w:numPr>
              <w:ind w:left="252" w:hanging="252"/>
              <w:rPr>
                <w:rFonts w:cstheme="minorHAnsi"/>
                <w:sz w:val="21"/>
                <w:szCs w:val="21"/>
              </w:rPr>
            </w:pPr>
            <w:r w:rsidRPr="009143F3">
              <w:rPr>
                <w:rFonts w:cstheme="minorHAnsi"/>
                <w:sz w:val="21"/>
                <w:szCs w:val="21"/>
              </w:rPr>
              <w:t>Moving expenses (even if it is a condition of employment)</w:t>
            </w:r>
            <w:r w:rsidR="002E7696" w:rsidRPr="009143F3">
              <w:rPr>
                <w:rFonts w:cstheme="minorHAnsi"/>
                <w:sz w:val="21"/>
                <w:szCs w:val="21"/>
              </w:rPr>
              <w:t>.</w:t>
            </w:r>
          </w:p>
        </w:tc>
      </w:tr>
      <w:tr w:rsidR="009143F3" w:rsidRPr="009143F3" w14:paraId="45CBA72F" w14:textId="77777777" w:rsidTr="00300397">
        <w:tc>
          <w:tcPr>
            <w:tcW w:w="2515" w:type="dxa"/>
          </w:tcPr>
          <w:p w14:paraId="7EC942A5" w14:textId="744CB0A7" w:rsidR="00225735" w:rsidRPr="009143F3" w:rsidRDefault="00225735" w:rsidP="00A80342">
            <w:pPr>
              <w:rPr>
                <w:rFonts w:cstheme="minorHAnsi"/>
                <w:sz w:val="21"/>
                <w:szCs w:val="21"/>
              </w:rPr>
            </w:pPr>
            <w:r w:rsidRPr="009143F3">
              <w:rPr>
                <w:rFonts w:cstheme="minorHAnsi"/>
                <w:sz w:val="21"/>
                <w:szCs w:val="21"/>
              </w:rPr>
              <w:t>Other</w:t>
            </w:r>
            <w:r w:rsidR="00091059" w:rsidRPr="009143F3">
              <w:rPr>
                <w:rFonts w:cstheme="minorHAnsi"/>
                <w:sz w:val="21"/>
                <w:szCs w:val="21"/>
              </w:rPr>
              <w:t xml:space="preserve"> Expenses</w:t>
            </w:r>
          </w:p>
        </w:tc>
        <w:tc>
          <w:tcPr>
            <w:tcW w:w="5580" w:type="dxa"/>
          </w:tcPr>
          <w:p w14:paraId="0A0EB246" w14:textId="1FBD7EDF" w:rsidR="00225735" w:rsidRPr="006131FD" w:rsidRDefault="00225735" w:rsidP="00A80342">
            <w:pPr>
              <w:rPr>
                <w:rFonts w:cstheme="minorHAnsi"/>
                <w:sz w:val="21"/>
                <w:szCs w:val="21"/>
              </w:rPr>
            </w:pPr>
            <w:r w:rsidRPr="006131FD">
              <w:rPr>
                <w:rFonts w:cstheme="minorHAnsi"/>
                <w:sz w:val="21"/>
                <w:szCs w:val="21"/>
              </w:rPr>
              <w:t xml:space="preserve">Other contractual agreements such as </w:t>
            </w:r>
            <w:r w:rsidR="00B9426B" w:rsidRPr="006131FD">
              <w:rPr>
                <w:rFonts w:cstheme="minorHAnsi"/>
                <w:sz w:val="21"/>
                <w:szCs w:val="21"/>
              </w:rPr>
              <w:t xml:space="preserve">sign-on bonuses, </w:t>
            </w:r>
            <w:r w:rsidRPr="006131FD">
              <w:rPr>
                <w:rFonts w:cstheme="minorHAnsi"/>
                <w:sz w:val="21"/>
                <w:szCs w:val="21"/>
              </w:rPr>
              <w:t xml:space="preserve">housing or mortgage subsidies, childcare assistance, </w:t>
            </w:r>
            <w:r w:rsidR="009361F4" w:rsidRPr="006131FD">
              <w:rPr>
                <w:rFonts w:cstheme="minorHAnsi"/>
                <w:sz w:val="21"/>
                <w:szCs w:val="21"/>
              </w:rPr>
              <w:t xml:space="preserve">personal </w:t>
            </w:r>
            <w:r w:rsidRPr="006131FD">
              <w:rPr>
                <w:rFonts w:cstheme="minorHAnsi"/>
                <w:sz w:val="21"/>
                <w:szCs w:val="21"/>
              </w:rPr>
              <w:t xml:space="preserve">educational assistance, </w:t>
            </w:r>
            <w:r w:rsidR="00AC08F1" w:rsidRPr="006131FD">
              <w:rPr>
                <w:rFonts w:cstheme="minorHAnsi"/>
                <w:sz w:val="21"/>
                <w:szCs w:val="21"/>
              </w:rPr>
              <w:t xml:space="preserve">medical </w:t>
            </w:r>
            <w:r w:rsidRPr="006131FD">
              <w:rPr>
                <w:rFonts w:cstheme="minorHAnsi"/>
                <w:sz w:val="21"/>
                <w:szCs w:val="21"/>
              </w:rPr>
              <w:t>etc. may be considered taxable to the employee. Contact your finance office or the Tax Office for guidance.</w:t>
            </w:r>
          </w:p>
        </w:tc>
        <w:tc>
          <w:tcPr>
            <w:tcW w:w="4140" w:type="dxa"/>
          </w:tcPr>
          <w:p w14:paraId="0D261931" w14:textId="15149536" w:rsidR="00BC77BC" w:rsidRPr="006131FD" w:rsidRDefault="00BC77BC" w:rsidP="00BC77BC">
            <w:pPr>
              <w:rPr>
                <w:rFonts w:cstheme="minorHAnsi"/>
                <w:sz w:val="21"/>
                <w:szCs w:val="21"/>
              </w:rPr>
            </w:pPr>
            <w:r w:rsidRPr="006131FD">
              <w:rPr>
                <w:rFonts w:cstheme="minorHAnsi"/>
                <w:sz w:val="21"/>
                <w:szCs w:val="21"/>
              </w:rPr>
              <w:t xml:space="preserve">Contact your local Finance Office or the </w:t>
            </w:r>
            <w:hyperlink r:id="rId32" w:history="1">
              <w:r w:rsidRPr="006131FD">
                <w:rPr>
                  <w:rStyle w:val="Hyperlink"/>
                  <w:rFonts w:cstheme="minorHAnsi"/>
                  <w:sz w:val="21"/>
                  <w:szCs w:val="21"/>
                </w:rPr>
                <w:t xml:space="preserve">Tax </w:t>
              </w:r>
              <w:r w:rsidR="00B648F9" w:rsidRPr="006131FD">
                <w:rPr>
                  <w:rStyle w:val="Hyperlink"/>
                  <w:rFonts w:cstheme="minorHAnsi"/>
                  <w:sz w:val="21"/>
                  <w:szCs w:val="21"/>
                </w:rPr>
                <w:t>Compliance</w:t>
              </w:r>
              <w:r w:rsidRPr="006131FD">
                <w:rPr>
                  <w:rStyle w:val="Hyperlink"/>
                  <w:rFonts w:cstheme="minorHAnsi"/>
                  <w:sz w:val="21"/>
                  <w:szCs w:val="21"/>
                </w:rPr>
                <w:t xml:space="preserve"> Office</w:t>
              </w:r>
            </w:hyperlink>
            <w:r w:rsidRPr="006131FD">
              <w:rPr>
                <w:rFonts w:cstheme="minorHAnsi"/>
                <w:sz w:val="21"/>
                <w:szCs w:val="21"/>
              </w:rPr>
              <w:t xml:space="preserve"> for determination and guidance.</w:t>
            </w:r>
          </w:p>
          <w:p w14:paraId="70D9E47E" w14:textId="77777777" w:rsidR="00225735" w:rsidRPr="006131FD" w:rsidRDefault="00225735" w:rsidP="00826E67">
            <w:pPr>
              <w:pStyle w:val="ListParagraph"/>
              <w:ind w:left="360"/>
              <w:rPr>
                <w:rFonts w:cstheme="minorHAnsi"/>
                <w:sz w:val="21"/>
                <w:szCs w:val="21"/>
              </w:rPr>
            </w:pPr>
          </w:p>
        </w:tc>
        <w:tc>
          <w:tcPr>
            <w:tcW w:w="6660" w:type="dxa"/>
          </w:tcPr>
          <w:p w14:paraId="714CD3F4" w14:textId="09A1FE11" w:rsidR="00225735" w:rsidRPr="009143F3" w:rsidRDefault="00225735" w:rsidP="00225735">
            <w:pPr>
              <w:pStyle w:val="ListParagraph"/>
              <w:numPr>
                <w:ilvl w:val="0"/>
                <w:numId w:val="19"/>
              </w:numPr>
              <w:ind w:left="346" w:hanging="346"/>
              <w:rPr>
                <w:rFonts w:cstheme="minorHAnsi"/>
                <w:sz w:val="21"/>
                <w:szCs w:val="21"/>
              </w:rPr>
            </w:pPr>
            <w:r w:rsidRPr="009143F3">
              <w:rPr>
                <w:rFonts w:cstheme="minorHAnsi"/>
                <w:sz w:val="21"/>
                <w:szCs w:val="21"/>
              </w:rPr>
              <w:t xml:space="preserve">Mortgage or </w:t>
            </w:r>
            <w:r w:rsidR="009361F4" w:rsidRPr="009143F3">
              <w:rPr>
                <w:rFonts w:cstheme="minorHAnsi"/>
                <w:sz w:val="21"/>
                <w:szCs w:val="21"/>
              </w:rPr>
              <w:t>h</w:t>
            </w:r>
            <w:r w:rsidRPr="009143F3">
              <w:rPr>
                <w:rFonts w:cstheme="minorHAnsi"/>
                <w:sz w:val="21"/>
                <w:szCs w:val="21"/>
              </w:rPr>
              <w:t>ousing allowances or subsidies</w:t>
            </w:r>
          </w:p>
          <w:p w14:paraId="5F19EAC7" w14:textId="4684722B" w:rsidR="00225735" w:rsidRPr="009143F3" w:rsidRDefault="00225735" w:rsidP="00225735">
            <w:pPr>
              <w:pStyle w:val="ListParagraph"/>
              <w:numPr>
                <w:ilvl w:val="0"/>
                <w:numId w:val="19"/>
              </w:numPr>
              <w:ind w:left="346" w:hanging="346"/>
              <w:rPr>
                <w:rFonts w:cstheme="minorHAnsi"/>
                <w:sz w:val="21"/>
                <w:szCs w:val="21"/>
              </w:rPr>
            </w:pPr>
            <w:r w:rsidRPr="009143F3">
              <w:rPr>
                <w:rFonts w:cstheme="minorHAnsi"/>
                <w:sz w:val="21"/>
                <w:szCs w:val="21"/>
              </w:rPr>
              <w:t>Child</w:t>
            </w:r>
            <w:r w:rsidR="0033201A" w:rsidRPr="009143F3">
              <w:rPr>
                <w:rFonts w:cstheme="minorHAnsi"/>
                <w:sz w:val="21"/>
                <w:szCs w:val="21"/>
              </w:rPr>
              <w:t>c</w:t>
            </w:r>
            <w:r w:rsidRPr="009143F3">
              <w:rPr>
                <w:rFonts w:cstheme="minorHAnsi"/>
                <w:sz w:val="21"/>
                <w:szCs w:val="21"/>
              </w:rPr>
              <w:t>are assistance</w:t>
            </w:r>
          </w:p>
          <w:p w14:paraId="74520C17" w14:textId="51C77222" w:rsidR="00225735" w:rsidRPr="009143F3" w:rsidRDefault="00225735" w:rsidP="00225735">
            <w:pPr>
              <w:pStyle w:val="ListParagraph"/>
              <w:numPr>
                <w:ilvl w:val="0"/>
                <w:numId w:val="19"/>
              </w:numPr>
              <w:ind w:left="346" w:hanging="346"/>
              <w:rPr>
                <w:rFonts w:cstheme="minorHAnsi"/>
                <w:sz w:val="21"/>
                <w:szCs w:val="21"/>
              </w:rPr>
            </w:pPr>
            <w:r w:rsidRPr="009143F3">
              <w:rPr>
                <w:rFonts w:cstheme="minorHAnsi"/>
                <w:sz w:val="21"/>
                <w:szCs w:val="21"/>
              </w:rPr>
              <w:t>Spouse or dependent</w:t>
            </w:r>
            <w:r w:rsidR="00273112" w:rsidRPr="009143F3">
              <w:rPr>
                <w:rFonts w:cstheme="minorHAnsi"/>
                <w:sz w:val="21"/>
                <w:szCs w:val="21"/>
              </w:rPr>
              <w:t xml:space="preserve"> </w:t>
            </w:r>
            <w:r w:rsidRPr="009143F3">
              <w:rPr>
                <w:rFonts w:cstheme="minorHAnsi"/>
                <w:sz w:val="21"/>
                <w:szCs w:val="21"/>
              </w:rPr>
              <w:t>assistance</w:t>
            </w:r>
          </w:p>
          <w:p w14:paraId="2000ABFE" w14:textId="2E7573F0" w:rsidR="00637C70" w:rsidRPr="009143F3" w:rsidRDefault="00273112" w:rsidP="00225735">
            <w:pPr>
              <w:pStyle w:val="ListParagraph"/>
              <w:numPr>
                <w:ilvl w:val="0"/>
                <w:numId w:val="19"/>
              </w:numPr>
              <w:ind w:left="346" w:hanging="346"/>
              <w:rPr>
                <w:rFonts w:cstheme="minorHAnsi"/>
                <w:sz w:val="21"/>
                <w:szCs w:val="21"/>
              </w:rPr>
            </w:pPr>
            <w:r w:rsidRPr="009143F3">
              <w:rPr>
                <w:rFonts w:cstheme="minorHAnsi"/>
                <w:sz w:val="21"/>
                <w:szCs w:val="21"/>
              </w:rPr>
              <w:t>Spouse or d</w:t>
            </w:r>
            <w:r w:rsidR="00637C70" w:rsidRPr="009143F3">
              <w:rPr>
                <w:rFonts w:cstheme="minorHAnsi"/>
                <w:sz w:val="21"/>
                <w:szCs w:val="21"/>
              </w:rPr>
              <w:t>ependent tuition support</w:t>
            </w:r>
          </w:p>
          <w:p w14:paraId="27C639B6" w14:textId="77777777" w:rsidR="00225735" w:rsidRPr="009143F3" w:rsidRDefault="000009C4" w:rsidP="00BC77BC">
            <w:pPr>
              <w:pStyle w:val="ListParagraph"/>
              <w:numPr>
                <w:ilvl w:val="0"/>
                <w:numId w:val="19"/>
              </w:numPr>
              <w:ind w:left="346" w:hanging="346"/>
              <w:rPr>
                <w:rFonts w:cstheme="minorHAnsi"/>
                <w:sz w:val="21"/>
                <w:szCs w:val="21"/>
              </w:rPr>
            </w:pPr>
            <w:proofErr w:type="gramStart"/>
            <w:r w:rsidRPr="009143F3">
              <w:rPr>
                <w:rFonts w:cstheme="minorHAnsi"/>
                <w:sz w:val="21"/>
                <w:szCs w:val="21"/>
              </w:rPr>
              <w:t>Non job-related</w:t>
            </w:r>
            <w:proofErr w:type="gramEnd"/>
            <w:r w:rsidRPr="009143F3">
              <w:rPr>
                <w:rFonts w:cstheme="minorHAnsi"/>
                <w:sz w:val="21"/>
                <w:szCs w:val="21"/>
              </w:rPr>
              <w:t xml:space="preserve"> t</w:t>
            </w:r>
            <w:r w:rsidR="00B9426B" w:rsidRPr="009143F3">
              <w:rPr>
                <w:rFonts w:cstheme="minorHAnsi"/>
                <w:sz w:val="21"/>
                <w:szCs w:val="21"/>
              </w:rPr>
              <w:t xml:space="preserve">uition </w:t>
            </w:r>
            <w:r w:rsidRPr="009143F3">
              <w:rPr>
                <w:rFonts w:cstheme="minorHAnsi"/>
                <w:sz w:val="21"/>
                <w:szCs w:val="21"/>
              </w:rPr>
              <w:t>a</w:t>
            </w:r>
            <w:r w:rsidR="00B9426B" w:rsidRPr="009143F3">
              <w:rPr>
                <w:rFonts w:cstheme="minorHAnsi"/>
                <w:sz w:val="21"/>
                <w:szCs w:val="21"/>
              </w:rPr>
              <w:t xml:space="preserve">ssistance </w:t>
            </w:r>
            <w:r w:rsidRPr="009143F3">
              <w:rPr>
                <w:rFonts w:cstheme="minorHAnsi"/>
                <w:sz w:val="21"/>
                <w:szCs w:val="21"/>
              </w:rPr>
              <w:t>over the IRS threshold.</w:t>
            </w:r>
          </w:p>
          <w:p w14:paraId="721FB766" w14:textId="7FBB10E7" w:rsidR="00AC08F1" w:rsidRPr="009143F3" w:rsidRDefault="00AC08F1" w:rsidP="00BC77BC">
            <w:pPr>
              <w:pStyle w:val="ListParagraph"/>
              <w:numPr>
                <w:ilvl w:val="0"/>
                <w:numId w:val="19"/>
              </w:numPr>
              <w:ind w:left="346" w:hanging="346"/>
              <w:rPr>
                <w:rFonts w:cstheme="minorHAnsi"/>
                <w:sz w:val="21"/>
                <w:szCs w:val="21"/>
              </w:rPr>
            </w:pPr>
            <w:r w:rsidRPr="009143F3">
              <w:rPr>
                <w:rFonts w:cstheme="minorHAnsi"/>
                <w:sz w:val="21"/>
                <w:szCs w:val="21"/>
              </w:rPr>
              <w:t>Medical</w:t>
            </w:r>
            <w:r w:rsidR="00FC46F3">
              <w:rPr>
                <w:rFonts w:cstheme="minorHAnsi"/>
                <w:sz w:val="21"/>
                <w:szCs w:val="21"/>
              </w:rPr>
              <w:t xml:space="preserve"> expenses</w:t>
            </w:r>
          </w:p>
        </w:tc>
      </w:tr>
    </w:tbl>
    <w:p w14:paraId="13DA5BB2" w14:textId="581143BA" w:rsidR="004E35FE" w:rsidRDefault="004E35FE" w:rsidP="00826E67"/>
    <w:p w14:paraId="29601116" w14:textId="657C3CA7" w:rsidR="00207A2D" w:rsidRPr="009143F3" w:rsidRDefault="00207A2D" w:rsidP="00826E67">
      <w:r>
        <w:rPr>
          <w:rFonts w:cstheme="minorHAnsi"/>
          <w:sz w:val="20"/>
          <w:szCs w:val="20"/>
          <w:vertAlign w:val="superscript"/>
        </w:rPr>
        <w:t>2</w:t>
      </w:r>
      <w:r w:rsidRPr="009143F3">
        <w:rPr>
          <w:rFonts w:cstheme="minorHAnsi"/>
          <w:sz w:val="20"/>
          <w:szCs w:val="20"/>
          <w:vertAlign w:val="superscript"/>
        </w:rPr>
        <w:t xml:space="preserve"> </w:t>
      </w:r>
      <w:r w:rsidRPr="009143F3">
        <w:rPr>
          <w:rFonts w:cstheme="minorHAnsi"/>
          <w:sz w:val="20"/>
          <w:szCs w:val="20"/>
        </w:rPr>
        <w:t xml:space="preserve">Common Harvard-sponsored visa types which </w:t>
      </w:r>
      <w:r w:rsidRPr="009143F3">
        <w:rPr>
          <w:rFonts w:cstheme="minorHAnsi"/>
          <w:sz w:val="20"/>
          <w:szCs w:val="20"/>
          <w:u w:val="single"/>
        </w:rPr>
        <w:t>may</w:t>
      </w:r>
      <w:r w:rsidRPr="009143F3">
        <w:rPr>
          <w:rFonts w:cstheme="minorHAnsi"/>
          <w:sz w:val="20"/>
          <w:szCs w:val="20"/>
        </w:rPr>
        <w:t xml:space="preserve"> be considered a Harvard business expense include H-1B, O-1,</w:t>
      </w:r>
      <w:r>
        <w:rPr>
          <w:rFonts w:cstheme="minorHAnsi"/>
          <w:sz w:val="20"/>
          <w:szCs w:val="20"/>
        </w:rPr>
        <w:t xml:space="preserve"> </w:t>
      </w:r>
      <w:r w:rsidRPr="009143F3">
        <w:rPr>
          <w:rFonts w:cstheme="minorHAnsi"/>
          <w:sz w:val="20"/>
          <w:szCs w:val="20"/>
        </w:rPr>
        <w:t xml:space="preserve">visa fees for tenured or tenure track faculty (assistant or associate professors) or Senior Researchers and some J-1 Exchange Visitor fees. The individuals must be Harvard employees doing work for the benefit of Harvard. Harvard sponsored I-140 Immigrant petition for alien worker and Form I-485 – Application to Register Permanent Residence or Adjust Status, plus any other filing </w:t>
      </w:r>
      <w:r w:rsidRPr="009143F3">
        <w:rPr>
          <w:rFonts w:cstheme="minorHAnsi"/>
          <w:sz w:val="20"/>
          <w:szCs w:val="20"/>
          <w:u w:val="single"/>
        </w:rPr>
        <w:t>requirements</w:t>
      </w:r>
      <w:r w:rsidRPr="009143F3">
        <w:rPr>
          <w:rFonts w:cstheme="minorHAnsi"/>
          <w:sz w:val="20"/>
          <w:szCs w:val="20"/>
        </w:rPr>
        <w:t xml:space="preserve"> for the I-485 (i.e., required medical exam, travel, legal fees, etc.) or Consular Processing are considered a Harvard business expense and may be reimbursed </w:t>
      </w:r>
      <w:r w:rsidRPr="009143F3">
        <w:rPr>
          <w:rFonts w:cstheme="minorHAnsi"/>
          <w:i/>
          <w:sz w:val="20"/>
          <w:szCs w:val="20"/>
        </w:rPr>
        <w:t>at the discretion of the school or unit</w:t>
      </w:r>
      <w:r w:rsidRPr="009143F3">
        <w:rPr>
          <w:rFonts w:cstheme="minorHAnsi"/>
          <w:sz w:val="20"/>
          <w:szCs w:val="20"/>
        </w:rPr>
        <w:t>. Self-sponsored I-140 or I-485 forms are considered nonqualified (taxable) payments. It is at the discretion of the schools if they wish to cover premium processing fees in addition to basic visa fees.</w:t>
      </w:r>
    </w:p>
    <w:sectPr w:rsidR="00207A2D" w:rsidRPr="009143F3" w:rsidSect="00DD2714">
      <w:headerReference w:type="default" r:id="rId33"/>
      <w:footerReference w:type="even" r:id="rId34"/>
      <w:footerReference w:type="default" r:id="rId35"/>
      <w:pgSz w:w="20160" w:h="12240" w:orient="landscape" w:code="5"/>
      <w:pgMar w:top="288" w:right="576" w:bottom="432" w:left="576"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B6E7C" w14:textId="77777777" w:rsidR="00225B42" w:rsidRDefault="00225B42" w:rsidP="00464A65">
      <w:r>
        <w:separator/>
      </w:r>
    </w:p>
  </w:endnote>
  <w:endnote w:type="continuationSeparator" w:id="0">
    <w:p w14:paraId="13824825" w14:textId="77777777" w:rsidR="00225B42" w:rsidRDefault="00225B42" w:rsidP="00464A65">
      <w:r>
        <w:continuationSeparator/>
      </w:r>
    </w:p>
  </w:endnote>
  <w:endnote w:type="continuationNotice" w:id="1">
    <w:p w14:paraId="5DF2DCFE" w14:textId="77777777" w:rsidR="00225B42" w:rsidRDefault="00225B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0078F" w14:textId="77777777" w:rsidR="008C44A3" w:rsidRDefault="008C44A3" w:rsidP="008C44A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40145" w14:textId="467BE20F" w:rsidR="003D4E94" w:rsidRPr="00ED4F63" w:rsidRDefault="003D4E94" w:rsidP="0004035B">
    <w:pPr>
      <w:pStyle w:val="Footer"/>
      <w:tabs>
        <w:tab w:val="clear" w:pos="4680"/>
      </w:tabs>
      <w:jc w:val="both"/>
      <w:rPr>
        <w:rFonts w:asciiTheme="minorHAnsi" w:hAnsiTheme="minorHAnsi" w:cstheme="minorHAnsi"/>
        <w:sz w:val="18"/>
        <w:szCs w:val="18"/>
      </w:rPr>
    </w:pPr>
    <w:r w:rsidRPr="00ED4F63">
      <w:rPr>
        <w:rFonts w:asciiTheme="minorHAnsi" w:hAnsiTheme="minorHAnsi" w:cstheme="minorHAnsi"/>
        <w:sz w:val="18"/>
        <w:szCs w:val="18"/>
      </w:rPr>
      <w:t>Financial Policy Office</w:t>
    </w:r>
    <w:r w:rsidR="00A076F9">
      <w:rPr>
        <w:rFonts w:asciiTheme="minorHAnsi" w:hAnsiTheme="minorHAnsi" w:cstheme="minorHAnsi"/>
        <w:sz w:val="18"/>
        <w:szCs w:val="18"/>
      </w:rPr>
      <w:t xml:space="preserve"> Revised: </w:t>
    </w:r>
    <w:r w:rsidR="005158E5">
      <w:rPr>
        <w:rFonts w:asciiTheme="minorHAnsi" w:hAnsiTheme="minorHAnsi" w:cstheme="minorHAnsi"/>
        <w:sz w:val="18"/>
        <w:szCs w:val="18"/>
      </w:rPr>
      <w:t>08/01/</w:t>
    </w:r>
    <w:r w:rsidR="00A076F9">
      <w:rPr>
        <w:rFonts w:asciiTheme="minorHAnsi" w:hAnsiTheme="minorHAnsi" w:cstheme="minorHAnsi"/>
        <w:sz w:val="18"/>
        <w:szCs w:val="18"/>
      </w:rPr>
      <w:t>2023</w:t>
    </w:r>
    <w:r w:rsidR="00A076F9">
      <w:rPr>
        <w:rFonts w:asciiTheme="minorHAnsi" w:hAnsiTheme="minorHAnsi" w:cstheme="minorHAnsi"/>
        <w:sz w:val="18"/>
        <w:szCs w:val="18"/>
      </w:rPr>
      <w:tab/>
    </w:r>
    <w:r w:rsidR="0004035B">
      <w:rPr>
        <w:rFonts w:asciiTheme="minorHAnsi" w:hAnsiTheme="minorHAnsi" w:cstheme="minorHAnsi"/>
        <w:sz w:val="18"/>
        <w:szCs w:val="18"/>
      </w:rPr>
      <w:tab/>
    </w:r>
    <w:r w:rsidR="0004035B">
      <w:rPr>
        <w:rFonts w:asciiTheme="minorHAnsi" w:hAnsiTheme="minorHAnsi" w:cstheme="minorHAnsi"/>
        <w:sz w:val="18"/>
        <w:szCs w:val="18"/>
      </w:rPr>
      <w:tab/>
    </w:r>
    <w:r w:rsidR="0004035B">
      <w:rPr>
        <w:rFonts w:asciiTheme="minorHAnsi" w:hAnsiTheme="minorHAnsi" w:cstheme="minorHAnsi"/>
        <w:sz w:val="18"/>
        <w:szCs w:val="18"/>
      </w:rPr>
      <w:tab/>
    </w:r>
    <w:r w:rsidR="0004035B">
      <w:rPr>
        <w:rFonts w:asciiTheme="minorHAnsi" w:hAnsiTheme="minorHAnsi" w:cstheme="minorHAnsi"/>
        <w:sz w:val="18"/>
        <w:szCs w:val="18"/>
      </w:rPr>
      <w:tab/>
    </w:r>
    <w:r w:rsidR="0004035B">
      <w:rPr>
        <w:rFonts w:asciiTheme="minorHAnsi" w:hAnsiTheme="minorHAnsi" w:cstheme="minorHAnsi"/>
        <w:sz w:val="18"/>
        <w:szCs w:val="18"/>
      </w:rPr>
      <w:tab/>
    </w:r>
    <w:r w:rsidR="00A076F9">
      <w:rPr>
        <w:rFonts w:asciiTheme="minorHAnsi" w:hAnsiTheme="minorHAnsi" w:cstheme="minorHAnsi"/>
        <w:sz w:val="18"/>
        <w:szCs w:val="18"/>
      </w:rPr>
      <w:tab/>
    </w:r>
    <w:r w:rsidR="00A076F9">
      <w:rPr>
        <w:rFonts w:asciiTheme="minorHAnsi" w:hAnsiTheme="minorHAnsi" w:cstheme="minorHAnsi"/>
        <w:sz w:val="18"/>
        <w:szCs w:val="18"/>
      </w:rPr>
      <w:tab/>
    </w:r>
    <w:r w:rsidR="00A076F9">
      <w:rPr>
        <w:rFonts w:asciiTheme="minorHAnsi" w:hAnsiTheme="minorHAnsi" w:cstheme="minorHAnsi"/>
        <w:sz w:val="18"/>
        <w:szCs w:val="18"/>
      </w:rPr>
      <w:tab/>
    </w:r>
    <w:r w:rsidR="00A076F9">
      <w:rPr>
        <w:rFonts w:asciiTheme="minorHAnsi" w:hAnsiTheme="minorHAnsi" w:cstheme="minorHAnsi"/>
        <w:sz w:val="18"/>
        <w:szCs w:val="18"/>
      </w:rPr>
      <w:tab/>
    </w:r>
    <w:r w:rsidR="00A076F9">
      <w:rPr>
        <w:rFonts w:asciiTheme="minorHAnsi" w:hAnsiTheme="minorHAnsi" w:cstheme="minorHAnsi"/>
        <w:sz w:val="18"/>
        <w:szCs w:val="18"/>
      </w:rPr>
      <w:tab/>
    </w:r>
    <w:r w:rsidR="00A076F9">
      <w:rPr>
        <w:rFonts w:asciiTheme="minorHAnsi" w:hAnsiTheme="minorHAnsi" w:cstheme="minorHAnsi"/>
        <w:sz w:val="18"/>
        <w:szCs w:val="18"/>
      </w:rPr>
      <w:tab/>
    </w:r>
    <w:r w:rsidR="00A076F9">
      <w:rPr>
        <w:rFonts w:asciiTheme="minorHAnsi" w:hAnsiTheme="minorHAnsi" w:cstheme="minorHAnsi"/>
        <w:sz w:val="18"/>
        <w:szCs w:val="18"/>
      </w:rPr>
      <w:tab/>
    </w:r>
    <w:r w:rsidR="008E5403">
      <w:rPr>
        <w:rFonts w:asciiTheme="minorHAnsi" w:hAnsiTheme="minorHAnsi" w:cstheme="minorHAnsi"/>
        <w:sz w:val="18"/>
        <w:szCs w:val="18"/>
      </w:rPr>
      <w:t>Page</w:t>
    </w:r>
    <w:r w:rsidR="00882F12">
      <w:rPr>
        <w:rFonts w:asciiTheme="minorHAnsi" w:hAnsiTheme="minorHAnsi" w:cstheme="minorHAnsi"/>
        <w:sz w:val="18"/>
        <w:szCs w:val="18"/>
      </w:rPr>
      <w:t xml:space="preserve"> </w:t>
    </w:r>
    <w:r w:rsidR="00882F12">
      <w:rPr>
        <w:rFonts w:asciiTheme="minorHAnsi" w:hAnsiTheme="minorHAnsi" w:cstheme="minorHAnsi"/>
        <w:sz w:val="18"/>
        <w:szCs w:val="18"/>
      </w:rPr>
      <w:fldChar w:fldCharType="begin"/>
    </w:r>
    <w:r w:rsidR="00882F12">
      <w:rPr>
        <w:rFonts w:asciiTheme="minorHAnsi" w:hAnsiTheme="minorHAnsi" w:cstheme="minorHAnsi"/>
        <w:sz w:val="18"/>
        <w:szCs w:val="18"/>
      </w:rPr>
      <w:instrText xml:space="preserve"> PAGE   \* MERGEFORMAT </w:instrText>
    </w:r>
    <w:r w:rsidR="00882F12">
      <w:rPr>
        <w:rFonts w:asciiTheme="minorHAnsi" w:hAnsiTheme="minorHAnsi" w:cstheme="minorHAnsi"/>
        <w:sz w:val="18"/>
        <w:szCs w:val="18"/>
      </w:rPr>
      <w:fldChar w:fldCharType="separate"/>
    </w:r>
    <w:r w:rsidR="00882F12">
      <w:rPr>
        <w:rFonts w:asciiTheme="minorHAnsi" w:hAnsiTheme="minorHAnsi" w:cstheme="minorHAnsi"/>
        <w:noProof/>
        <w:sz w:val="18"/>
        <w:szCs w:val="18"/>
      </w:rPr>
      <w:t>1</w:t>
    </w:r>
    <w:r w:rsidR="00882F12">
      <w:rPr>
        <w:rFonts w:asciiTheme="minorHAnsi" w:hAnsiTheme="minorHAnsi" w:cstheme="minorHAnsi"/>
        <w:sz w:val="18"/>
        <w:szCs w:val="18"/>
      </w:rPr>
      <w:fldChar w:fldCharType="end"/>
    </w:r>
    <w:r w:rsidR="00882F12">
      <w:rPr>
        <w:rFonts w:asciiTheme="minorHAnsi" w:hAnsiTheme="minorHAnsi" w:cstheme="minorHAnsi"/>
        <w:sz w:val="18"/>
        <w:szCs w:val="18"/>
      </w:rPr>
      <w:t xml:space="preserve"> of </w:t>
    </w:r>
    <w:r w:rsidR="008E5403">
      <w:rPr>
        <w:rFonts w:asciiTheme="minorHAnsi" w:hAnsiTheme="minorHAnsi" w:cstheme="minorHAnsi"/>
        <w:sz w:val="18"/>
        <w:szCs w:val="18"/>
      </w:rPr>
      <w:fldChar w:fldCharType="begin"/>
    </w:r>
    <w:r w:rsidR="008E5403">
      <w:rPr>
        <w:rFonts w:asciiTheme="minorHAnsi" w:hAnsiTheme="minorHAnsi" w:cstheme="minorHAnsi"/>
        <w:sz w:val="18"/>
        <w:szCs w:val="18"/>
      </w:rPr>
      <w:instrText xml:space="preserve"> NUMPAGES   \* MERGEFORMAT </w:instrText>
    </w:r>
    <w:r w:rsidR="008E5403">
      <w:rPr>
        <w:rFonts w:asciiTheme="minorHAnsi" w:hAnsiTheme="minorHAnsi" w:cstheme="minorHAnsi"/>
        <w:sz w:val="18"/>
        <w:szCs w:val="18"/>
      </w:rPr>
      <w:fldChar w:fldCharType="separate"/>
    </w:r>
    <w:r w:rsidR="008E5403">
      <w:rPr>
        <w:rFonts w:asciiTheme="minorHAnsi" w:hAnsiTheme="minorHAnsi" w:cstheme="minorHAnsi"/>
        <w:noProof/>
        <w:sz w:val="18"/>
        <w:szCs w:val="18"/>
      </w:rPr>
      <w:t>5</w:t>
    </w:r>
    <w:r w:rsidR="008E5403">
      <w:rPr>
        <w:rFonts w:asciiTheme="minorHAnsi" w:hAnsiTheme="minorHAnsi"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69DB2" w14:textId="77777777" w:rsidR="00225B42" w:rsidRDefault="00225B42" w:rsidP="00464A65">
      <w:r>
        <w:separator/>
      </w:r>
    </w:p>
  </w:footnote>
  <w:footnote w:type="continuationSeparator" w:id="0">
    <w:p w14:paraId="22DEE085" w14:textId="77777777" w:rsidR="00225B42" w:rsidRDefault="00225B42" w:rsidP="00464A65">
      <w:r>
        <w:continuationSeparator/>
      </w:r>
    </w:p>
  </w:footnote>
  <w:footnote w:type="continuationNotice" w:id="1">
    <w:p w14:paraId="5ED2E62B" w14:textId="77777777" w:rsidR="00225B42" w:rsidRDefault="00225B42"/>
  </w:footnote>
  <w:footnote w:id="2">
    <w:p w14:paraId="3B07AA43" w14:textId="6DE96D0E" w:rsidR="00FE3E89" w:rsidRPr="009234C0" w:rsidRDefault="00FE3E89">
      <w:pPr>
        <w:pStyle w:val="FootnoteText"/>
      </w:pPr>
      <w:r>
        <w:rPr>
          <w:rStyle w:val="FootnoteReference"/>
        </w:rPr>
        <w:footnoteRef/>
      </w:r>
      <w:r>
        <w:t xml:space="preserve"> </w:t>
      </w:r>
      <w:r w:rsidRPr="000B4EF3">
        <w:rPr>
          <w:rFonts w:cstheme="minorHAnsi"/>
        </w:rPr>
        <w:t xml:space="preserve">Generally, your tax home is considered your regular place of work, regardless of where you maintain your family home/residence and regardless of whether you work remotely. </w:t>
      </w:r>
    </w:p>
  </w:footnote>
  <w:footnote w:id="3">
    <w:p w14:paraId="78111E2E" w14:textId="05B56F02" w:rsidR="005710C6" w:rsidRPr="009234C0" w:rsidRDefault="005710C6" w:rsidP="005710C6">
      <w:pPr>
        <w:pStyle w:val="FootnoteText"/>
      </w:pPr>
      <w:r>
        <w:rPr>
          <w:rStyle w:val="FootnoteReference"/>
        </w:rPr>
        <w:footnoteRef/>
      </w:r>
      <w:r>
        <w:t xml:space="preserve"> </w:t>
      </w:r>
      <w:r w:rsidRPr="000B4EF3">
        <w:rPr>
          <w:rFonts w:cstheme="minorHAnsi"/>
        </w:rPr>
        <w:t>If the original appointment was expected to be less than a year, but is extended to more than a year, expenses are taxable from the agreed upon date of the extension</w:t>
      </w:r>
      <w:r w:rsidR="00FE7039">
        <w:rPr>
          <w:rFonts w:cstheme="minorHAnsi"/>
        </w:rPr>
        <w:t>.</w:t>
      </w:r>
    </w:p>
  </w:footnote>
  <w:footnote w:id="4">
    <w:p w14:paraId="2EE4F931" w14:textId="77777777" w:rsidR="000A7163" w:rsidRPr="009234C0" w:rsidRDefault="000A7163">
      <w:pPr>
        <w:pStyle w:val="FootnoteText"/>
      </w:pPr>
      <w:r>
        <w:rPr>
          <w:rStyle w:val="FootnoteReference"/>
        </w:rPr>
        <w:footnoteRef/>
      </w:r>
      <w:r>
        <w:t xml:space="preserve"> </w:t>
      </w:r>
      <w:r w:rsidRPr="000B4EF3">
        <w:rPr>
          <w:rFonts w:cstheme="minorHAnsi"/>
        </w:rPr>
        <w:t>Generally, your tax home is considered your regular place of work, regardless of where you maintain your family home/residence and regardless of whether you work remotely.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6EB69" w14:textId="3D9E7A05" w:rsidR="008C44A3" w:rsidRDefault="008C44A3" w:rsidP="008C44A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4261"/>
    <w:multiLevelType w:val="hybridMultilevel"/>
    <w:tmpl w:val="6C0438E0"/>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 w15:restartNumberingAfterBreak="0">
    <w:nsid w:val="15081048"/>
    <w:multiLevelType w:val="hybridMultilevel"/>
    <w:tmpl w:val="81C4AB9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5662432"/>
    <w:multiLevelType w:val="hybridMultilevel"/>
    <w:tmpl w:val="93688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D4302"/>
    <w:multiLevelType w:val="hybridMultilevel"/>
    <w:tmpl w:val="F1002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357D8"/>
    <w:multiLevelType w:val="multilevel"/>
    <w:tmpl w:val="93B6276C"/>
    <w:lvl w:ilvl="0">
      <w:start w:val="1"/>
      <w:numFmt w:val="upperRoman"/>
      <w:lvlText w:val="%1)"/>
      <w:lvlJc w:val="left"/>
      <w:pPr>
        <w:ind w:left="360" w:hanging="360"/>
      </w:pPr>
      <w:rPr>
        <w:rFonts w:asciiTheme="minorHAnsi" w:hAnsiTheme="minorHAnsi" w:hint="default"/>
        <w:sz w:val="20"/>
      </w:rPr>
    </w:lvl>
    <w:lvl w:ilvl="1">
      <w:start w:val="1"/>
      <w:numFmt w:val="upperLetter"/>
      <w:lvlText w:val="%2)"/>
      <w:lvlJc w:val="left"/>
      <w:pPr>
        <w:ind w:left="432" w:firstLine="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none"/>
      <w:lvlText w:val="(1.)"/>
      <w:lvlJc w:val="left"/>
      <w:pPr>
        <w:ind w:left="1800" w:hanging="360"/>
      </w:pPr>
      <w:rPr>
        <w:rFonts w:hint="default"/>
      </w:rPr>
    </w:lvl>
    <w:lvl w:ilvl="5">
      <w:start w:val="1"/>
      <w:numFmt w:val="none"/>
      <w:lvlText w:val="(a)"/>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18B166D"/>
    <w:multiLevelType w:val="hybridMultilevel"/>
    <w:tmpl w:val="7ACC523C"/>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6" w15:restartNumberingAfterBreak="0">
    <w:nsid w:val="23A76377"/>
    <w:multiLevelType w:val="hybridMultilevel"/>
    <w:tmpl w:val="2DA46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232E2"/>
    <w:multiLevelType w:val="hybridMultilevel"/>
    <w:tmpl w:val="A0C2A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BE5B22"/>
    <w:multiLevelType w:val="multilevel"/>
    <w:tmpl w:val="06C87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1C3EAF"/>
    <w:multiLevelType w:val="hybridMultilevel"/>
    <w:tmpl w:val="FAD0923A"/>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CBD5B4C"/>
    <w:multiLevelType w:val="hybridMultilevel"/>
    <w:tmpl w:val="925412E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E450FE7"/>
    <w:multiLevelType w:val="multilevel"/>
    <w:tmpl w:val="3A6EFC58"/>
    <w:styleLink w:val="Lists"/>
    <w:lvl w:ilvl="0">
      <w:start w:val="1"/>
      <w:numFmt w:val="upperRoman"/>
      <w:lvlText w:val="%1."/>
      <w:lvlJc w:val="right"/>
      <w:pPr>
        <w:ind w:left="720" w:hanging="720"/>
      </w:pPr>
      <w:rPr>
        <w:rFonts w:ascii="Calibri" w:hAnsi="Calibri" w:hint="default"/>
        <w:b/>
        <w:bCs/>
        <w:spacing w:val="-1"/>
        <w:w w:val="99"/>
        <w:sz w:val="20"/>
        <w:szCs w:val="20"/>
      </w:rPr>
    </w:lvl>
    <w:lvl w:ilvl="1">
      <w:start w:val="1"/>
      <w:numFmt w:val="upperLetter"/>
      <w:lvlText w:val="%2."/>
      <w:lvlJc w:val="left"/>
      <w:pPr>
        <w:ind w:left="1440" w:hanging="720"/>
      </w:pPr>
      <w:rPr>
        <w:rFonts w:ascii="Calibri" w:hAnsi="Calibri" w:hint="default"/>
        <w:b w:val="0"/>
        <w:bCs/>
        <w:i w:val="0"/>
        <w:spacing w:val="-6"/>
        <w:w w:val="100"/>
        <w:sz w:val="20"/>
        <w:szCs w:val="20"/>
      </w:rPr>
    </w:lvl>
    <w:lvl w:ilvl="2">
      <w:start w:val="1"/>
      <w:numFmt w:val="decimal"/>
      <w:lvlText w:val="%3."/>
      <w:lvlJc w:val="left"/>
      <w:pPr>
        <w:ind w:left="2160" w:hanging="720"/>
      </w:pPr>
      <w:rPr>
        <w:rFonts w:asciiTheme="minorHAnsi" w:hAnsiTheme="minorHAnsi" w:cstheme="minorHAnsi" w:hint="default"/>
        <w:b w:val="0"/>
        <w:bCs/>
        <w:spacing w:val="0"/>
        <w:w w:val="100"/>
        <w:sz w:val="20"/>
        <w:szCs w:val="20"/>
      </w:rPr>
    </w:lvl>
    <w:lvl w:ilvl="3">
      <w:start w:val="1"/>
      <w:numFmt w:val="lowerLetter"/>
      <w:lvlText w:val="%4."/>
      <w:lvlJc w:val="left"/>
      <w:pPr>
        <w:ind w:left="2880" w:hanging="720"/>
      </w:pPr>
      <w:rPr>
        <w:rFonts w:ascii="Calibri" w:hAnsi="Calibri" w:hint="default"/>
        <w:sz w:val="20"/>
      </w:rPr>
    </w:lvl>
    <w:lvl w:ilvl="4">
      <w:numFmt w:val="none"/>
      <w:lvlText w:val="(1.)"/>
      <w:lvlJc w:val="left"/>
      <w:pPr>
        <w:ind w:left="3600" w:hanging="720"/>
      </w:pPr>
      <w:rPr>
        <w:rFonts w:ascii="Calibri" w:hAnsi="Calibri" w:hint="default"/>
        <w:sz w:val="20"/>
      </w:rPr>
    </w:lvl>
    <w:lvl w:ilvl="5">
      <w:numFmt w:val="bullet"/>
      <w:lvlText w:val="•"/>
      <w:lvlJc w:val="left"/>
      <w:pPr>
        <w:ind w:left="4320" w:hanging="720"/>
      </w:pPr>
      <w:rPr>
        <w:rFonts w:hint="default"/>
      </w:rPr>
    </w:lvl>
    <w:lvl w:ilvl="6">
      <w:numFmt w:val="bullet"/>
      <w:lvlText w:val="•"/>
      <w:lvlJc w:val="left"/>
      <w:pPr>
        <w:ind w:left="5040" w:hanging="720"/>
      </w:pPr>
      <w:rPr>
        <w:rFonts w:hint="default"/>
      </w:rPr>
    </w:lvl>
    <w:lvl w:ilvl="7">
      <w:numFmt w:val="bullet"/>
      <w:lvlText w:val="•"/>
      <w:lvlJc w:val="left"/>
      <w:pPr>
        <w:ind w:left="5760" w:hanging="720"/>
      </w:pPr>
      <w:rPr>
        <w:rFonts w:hint="default"/>
      </w:rPr>
    </w:lvl>
    <w:lvl w:ilvl="8">
      <w:numFmt w:val="bullet"/>
      <w:lvlText w:val="•"/>
      <w:lvlJc w:val="left"/>
      <w:pPr>
        <w:ind w:left="6480" w:hanging="720"/>
      </w:pPr>
      <w:rPr>
        <w:rFonts w:hint="default"/>
      </w:rPr>
    </w:lvl>
  </w:abstractNum>
  <w:abstractNum w:abstractNumId="12" w15:restartNumberingAfterBreak="0">
    <w:nsid w:val="41855433"/>
    <w:multiLevelType w:val="hybridMultilevel"/>
    <w:tmpl w:val="DFAA30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43D0B07"/>
    <w:multiLevelType w:val="hybridMultilevel"/>
    <w:tmpl w:val="62C69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6D3C32"/>
    <w:multiLevelType w:val="multilevel"/>
    <w:tmpl w:val="07302D82"/>
    <w:styleLink w:val="PolicyStyle"/>
    <w:lvl w:ilvl="0">
      <w:start w:val="1"/>
      <w:numFmt w:val="upperRoman"/>
      <w:lvlText w:val="%1."/>
      <w:lvlJc w:val="right"/>
      <w:pPr>
        <w:ind w:left="720" w:hanging="360"/>
      </w:pPr>
      <w:rPr>
        <w:rFonts w:asciiTheme="minorHAnsi" w:hAnsiTheme="minorHAnsi" w:hint="default"/>
        <w:b/>
        <w:sz w:val="20"/>
        <w:szCs w:val="20"/>
      </w:rPr>
    </w:lvl>
    <w:lvl w:ilvl="1">
      <w:start w:val="1"/>
      <w:numFmt w:val="upperLetter"/>
      <w:lvlText w:val="%2."/>
      <w:lvlJc w:val="left"/>
      <w:pPr>
        <w:ind w:left="1440" w:hanging="360"/>
      </w:pPr>
      <w:rPr>
        <w:rFonts w:asciiTheme="minorHAnsi" w:hAnsiTheme="minorHAnsi" w:cstheme="minorHAnsi" w:hint="default"/>
        <w:b/>
        <w:color w:val="auto"/>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A120D2F"/>
    <w:multiLevelType w:val="multilevel"/>
    <w:tmpl w:val="501E0DDA"/>
    <w:styleLink w:val="KJKRFPStyle"/>
    <w:lvl w:ilvl="0">
      <w:start w:val="1"/>
      <w:numFmt w:val="decimal"/>
      <w:lvlText w:val="%1."/>
      <w:lvlJc w:val="left"/>
      <w:pPr>
        <w:tabs>
          <w:tab w:val="num" w:pos="2340"/>
        </w:tabs>
        <w:ind w:left="720" w:hanging="720"/>
      </w:pPr>
      <w:rPr>
        <w:rFonts w:ascii="Times New Roman" w:hAnsi="Times New Roman" w:cs="Times New Roman" w:hint="default"/>
        <w:b/>
        <w:i w:val="0"/>
        <w:caps w:val="0"/>
        <w:strike w:val="0"/>
        <w:dstrike w:val="0"/>
        <w:vanish w:val="0"/>
        <w:color w:val="auto"/>
        <w:sz w:val="24"/>
        <w:szCs w:val="24"/>
        <w:u w:val="none"/>
        <w:vertAlign w:val="baseline"/>
      </w:rPr>
    </w:lvl>
    <w:lvl w:ilvl="1">
      <w:start w:val="1"/>
      <w:numFmt w:val="decimal"/>
      <w:lvlText w:val="%1.%2."/>
      <w:lvlJc w:val="left"/>
      <w:pPr>
        <w:tabs>
          <w:tab w:val="num" w:pos="2250"/>
        </w:tabs>
        <w:ind w:left="1296" w:hanging="720"/>
      </w:pPr>
      <w:rPr>
        <w:rFonts w:ascii="Times New Roman" w:hAnsi="Times New Roman" w:cs="Times New Roman" w:hint="default"/>
        <w:b/>
        <w:i w:val="0"/>
        <w:caps w:val="0"/>
        <w:strike w:val="0"/>
        <w:dstrike w:val="0"/>
        <w:vanish w:val="0"/>
        <w:color w:val="auto"/>
        <w:sz w:val="22"/>
        <w:szCs w:val="22"/>
        <w:u w:val="none"/>
        <w:vertAlign w:val="baseline"/>
      </w:rPr>
    </w:lvl>
    <w:lvl w:ilvl="2">
      <w:start w:val="1"/>
      <w:numFmt w:val="decimal"/>
      <w:lvlText w:val="%1.%2.%3."/>
      <w:lvlJc w:val="left"/>
      <w:pPr>
        <w:tabs>
          <w:tab w:val="num" w:pos="720"/>
        </w:tabs>
        <w:ind w:left="2160" w:hanging="720"/>
      </w:pPr>
      <w:rPr>
        <w:rFonts w:ascii="Arial" w:hAnsi="Arial" w:cs="Arial" w:hint="default"/>
        <w:b/>
        <w:i w:val="0"/>
        <w:caps w:val="0"/>
        <w:strike w:val="0"/>
        <w:dstrike w:val="0"/>
        <w:vanish w:val="0"/>
        <w:color w:val="auto"/>
        <w:sz w:val="20"/>
        <w:u w:val="none"/>
        <w:vertAlign w:val="baseline"/>
      </w:rPr>
    </w:lvl>
    <w:lvl w:ilvl="3">
      <w:start w:val="1"/>
      <w:numFmt w:val="decimal"/>
      <w:lvlText w:val="%1.%2.%3.%4."/>
      <w:lvlJc w:val="left"/>
      <w:pPr>
        <w:tabs>
          <w:tab w:val="num" w:pos="720"/>
        </w:tabs>
        <w:ind w:left="2736" w:hanging="720"/>
      </w:pPr>
      <w:rPr>
        <w:rFonts w:ascii="Times New Roman" w:hAnsi="Times New Roman" w:cs="Times New Roman" w:hint="default"/>
        <w:b w:val="0"/>
        <w:i w:val="0"/>
        <w:caps w:val="0"/>
        <w:strike w:val="0"/>
        <w:dstrike w:val="0"/>
        <w:vanish w:val="0"/>
        <w:color w:val="auto"/>
        <w:sz w:val="20"/>
        <w:u w:val="none"/>
        <w:vertAlign w:val="baseline"/>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6" w15:restartNumberingAfterBreak="0">
    <w:nsid w:val="750F0B1E"/>
    <w:multiLevelType w:val="hybridMultilevel"/>
    <w:tmpl w:val="4AEC95D8"/>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17" w15:restartNumberingAfterBreak="0">
    <w:nsid w:val="7B360E79"/>
    <w:multiLevelType w:val="hybridMultilevel"/>
    <w:tmpl w:val="EDAED250"/>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num w:numId="1" w16cid:durableId="596980966">
    <w:abstractNumId w:val="15"/>
  </w:num>
  <w:num w:numId="2" w16cid:durableId="461730866">
    <w:abstractNumId w:val="14"/>
  </w:num>
  <w:num w:numId="3" w16cid:durableId="627779699">
    <w:abstractNumId w:val="4"/>
  </w:num>
  <w:num w:numId="4" w16cid:durableId="1899314050">
    <w:abstractNumId w:val="11"/>
  </w:num>
  <w:num w:numId="5" w16cid:durableId="1098990952">
    <w:abstractNumId w:val="3"/>
  </w:num>
  <w:num w:numId="6" w16cid:durableId="1763381573">
    <w:abstractNumId w:val="13"/>
  </w:num>
  <w:num w:numId="7" w16cid:durableId="947468248">
    <w:abstractNumId w:val="2"/>
  </w:num>
  <w:num w:numId="8" w16cid:durableId="588661877">
    <w:abstractNumId w:val="6"/>
  </w:num>
  <w:num w:numId="9" w16cid:durableId="303237640">
    <w:abstractNumId w:val="5"/>
  </w:num>
  <w:num w:numId="10" w16cid:durableId="1986812467">
    <w:abstractNumId w:val="1"/>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6514083">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5984924">
    <w:abstractNumId w:val="16"/>
  </w:num>
  <w:num w:numId="13" w16cid:durableId="1556504390">
    <w:abstractNumId w:val="1"/>
  </w:num>
  <w:num w:numId="14" w16cid:durableId="1574781398">
    <w:abstractNumId w:val="8"/>
  </w:num>
  <w:num w:numId="15" w16cid:durableId="233702597">
    <w:abstractNumId w:val="5"/>
  </w:num>
  <w:num w:numId="16" w16cid:durableId="1250502924">
    <w:abstractNumId w:val="17"/>
  </w:num>
  <w:num w:numId="17" w16cid:durableId="560141981">
    <w:abstractNumId w:val="7"/>
  </w:num>
  <w:num w:numId="18" w16cid:durableId="1496994281">
    <w:abstractNumId w:val="12"/>
  </w:num>
  <w:num w:numId="19" w16cid:durableId="487407853">
    <w:abstractNumId w:val="0"/>
  </w:num>
  <w:num w:numId="20" w16cid:durableId="1643276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63658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readOnly" w:enforcement="1" w:cryptProviderType="rsaAES" w:cryptAlgorithmClass="hash" w:cryptAlgorithmType="typeAny" w:cryptAlgorithmSid="14" w:cryptSpinCount="100000" w:hash="KJe4FjXolFi30BOlB8ue5BSA2Wki7RkyiYKPD3cBep4Xe/6nBCZs1cAAy8d+kxS1cXv2lGqmvkP1MPlpJqtCxQ==" w:salt="UHq/tOMi1BylTGeSdUhRM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B1A"/>
    <w:rsid w:val="000009C4"/>
    <w:rsid w:val="00005846"/>
    <w:rsid w:val="00006981"/>
    <w:rsid w:val="00017666"/>
    <w:rsid w:val="00021597"/>
    <w:rsid w:val="00022AAB"/>
    <w:rsid w:val="000241D8"/>
    <w:rsid w:val="0002682F"/>
    <w:rsid w:val="00032ADB"/>
    <w:rsid w:val="00033E1E"/>
    <w:rsid w:val="000401BE"/>
    <w:rsid w:val="0004035B"/>
    <w:rsid w:val="00042034"/>
    <w:rsid w:val="00047B71"/>
    <w:rsid w:val="000534C3"/>
    <w:rsid w:val="00054A06"/>
    <w:rsid w:val="00055BE9"/>
    <w:rsid w:val="00056621"/>
    <w:rsid w:val="00062983"/>
    <w:rsid w:val="00065B38"/>
    <w:rsid w:val="0006645A"/>
    <w:rsid w:val="000733E6"/>
    <w:rsid w:val="00073FDA"/>
    <w:rsid w:val="00074745"/>
    <w:rsid w:val="00090AD3"/>
    <w:rsid w:val="00090F0A"/>
    <w:rsid w:val="00090FEF"/>
    <w:rsid w:val="00091059"/>
    <w:rsid w:val="00093602"/>
    <w:rsid w:val="000953B6"/>
    <w:rsid w:val="000A7163"/>
    <w:rsid w:val="000B256C"/>
    <w:rsid w:val="000B4EF3"/>
    <w:rsid w:val="000B74A9"/>
    <w:rsid w:val="000C7E77"/>
    <w:rsid w:val="000D7409"/>
    <w:rsid w:val="000D75FE"/>
    <w:rsid w:val="000E2EB6"/>
    <w:rsid w:val="000E354F"/>
    <w:rsid w:val="000E4550"/>
    <w:rsid w:val="000E5431"/>
    <w:rsid w:val="000E5EB5"/>
    <w:rsid w:val="000F3D02"/>
    <w:rsid w:val="00100C41"/>
    <w:rsid w:val="00102763"/>
    <w:rsid w:val="00110AEF"/>
    <w:rsid w:val="00121741"/>
    <w:rsid w:val="00122661"/>
    <w:rsid w:val="00125DD5"/>
    <w:rsid w:val="00133572"/>
    <w:rsid w:val="001356F1"/>
    <w:rsid w:val="0013592A"/>
    <w:rsid w:val="00145BA9"/>
    <w:rsid w:val="00146D0A"/>
    <w:rsid w:val="00152672"/>
    <w:rsid w:val="00153BF0"/>
    <w:rsid w:val="00163B0D"/>
    <w:rsid w:val="00170898"/>
    <w:rsid w:val="00176C49"/>
    <w:rsid w:val="00180AA0"/>
    <w:rsid w:val="00181723"/>
    <w:rsid w:val="00181938"/>
    <w:rsid w:val="001823B3"/>
    <w:rsid w:val="00195430"/>
    <w:rsid w:val="00196B25"/>
    <w:rsid w:val="001A0821"/>
    <w:rsid w:val="001A0DE2"/>
    <w:rsid w:val="001A2F58"/>
    <w:rsid w:val="001A306C"/>
    <w:rsid w:val="001A37E6"/>
    <w:rsid w:val="001C3E13"/>
    <w:rsid w:val="001D23C1"/>
    <w:rsid w:val="001D4A46"/>
    <w:rsid w:val="001E4CA2"/>
    <w:rsid w:val="001F0F55"/>
    <w:rsid w:val="00201A81"/>
    <w:rsid w:val="002042FC"/>
    <w:rsid w:val="00204712"/>
    <w:rsid w:val="00207A2D"/>
    <w:rsid w:val="00213435"/>
    <w:rsid w:val="0021592D"/>
    <w:rsid w:val="002211B8"/>
    <w:rsid w:val="002233B3"/>
    <w:rsid w:val="00224650"/>
    <w:rsid w:val="00225735"/>
    <w:rsid w:val="00225B42"/>
    <w:rsid w:val="002406EB"/>
    <w:rsid w:val="002420F6"/>
    <w:rsid w:val="00246B69"/>
    <w:rsid w:val="00250D83"/>
    <w:rsid w:val="00251C89"/>
    <w:rsid w:val="00255595"/>
    <w:rsid w:val="00257676"/>
    <w:rsid w:val="00265CEB"/>
    <w:rsid w:val="00273112"/>
    <w:rsid w:val="00280DBB"/>
    <w:rsid w:val="00281DCF"/>
    <w:rsid w:val="00282A5A"/>
    <w:rsid w:val="00290291"/>
    <w:rsid w:val="00292B1A"/>
    <w:rsid w:val="00294B35"/>
    <w:rsid w:val="002A1BE9"/>
    <w:rsid w:val="002A3336"/>
    <w:rsid w:val="002A5241"/>
    <w:rsid w:val="002A5B85"/>
    <w:rsid w:val="002B0AA1"/>
    <w:rsid w:val="002B0ADD"/>
    <w:rsid w:val="002B103E"/>
    <w:rsid w:val="002B56A5"/>
    <w:rsid w:val="002B6C4E"/>
    <w:rsid w:val="002B6F29"/>
    <w:rsid w:val="002C30C5"/>
    <w:rsid w:val="002C44E6"/>
    <w:rsid w:val="002C6617"/>
    <w:rsid w:val="002C692C"/>
    <w:rsid w:val="002D2EDA"/>
    <w:rsid w:val="002E3ABE"/>
    <w:rsid w:val="002E7696"/>
    <w:rsid w:val="002F1406"/>
    <w:rsid w:val="002F622F"/>
    <w:rsid w:val="002F697B"/>
    <w:rsid w:val="002F7182"/>
    <w:rsid w:val="00300397"/>
    <w:rsid w:val="00300443"/>
    <w:rsid w:val="00300E73"/>
    <w:rsid w:val="0030185F"/>
    <w:rsid w:val="0030337F"/>
    <w:rsid w:val="0030342A"/>
    <w:rsid w:val="003039DF"/>
    <w:rsid w:val="00303C2D"/>
    <w:rsid w:val="00313651"/>
    <w:rsid w:val="00322213"/>
    <w:rsid w:val="00322770"/>
    <w:rsid w:val="0032343D"/>
    <w:rsid w:val="0032532B"/>
    <w:rsid w:val="00327852"/>
    <w:rsid w:val="0033201A"/>
    <w:rsid w:val="0033662F"/>
    <w:rsid w:val="0034545D"/>
    <w:rsid w:val="00346A66"/>
    <w:rsid w:val="0034788C"/>
    <w:rsid w:val="00354F35"/>
    <w:rsid w:val="0035630D"/>
    <w:rsid w:val="00376290"/>
    <w:rsid w:val="003845A8"/>
    <w:rsid w:val="00386AAD"/>
    <w:rsid w:val="003928CE"/>
    <w:rsid w:val="00396303"/>
    <w:rsid w:val="003A13F6"/>
    <w:rsid w:val="003A3E9A"/>
    <w:rsid w:val="003A4B69"/>
    <w:rsid w:val="003A5FF6"/>
    <w:rsid w:val="003B1A86"/>
    <w:rsid w:val="003B4172"/>
    <w:rsid w:val="003B4701"/>
    <w:rsid w:val="003B517A"/>
    <w:rsid w:val="003B59C5"/>
    <w:rsid w:val="003C2272"/>
    <w:rsid w:val="003C31B5"/>
    <w:rsid w:val="003D03AF"/>
    <w:rsid w:val="003D099D"/>
    <w:rsid w:val="003D117F"/>
    <w:rsid w:val="003D393C"/>
    <w:rsid w:val="003D4E94"/>
    <w:rsid w:val="003E5B8A"/>
    <w:rsid w:val="003F5AB9"/>
    <w:rsid w:val="00401147"/>
    <w:rsid w:val="00403B1C"/>
    <w:rsid w:val="0040769D"/>
    <w:rsid w:val="00407FC2"/>
    <w:rsid w:val="004216F5"/>
    <w:rsid w:val="0042332D"/>
    <w:rsid w:val="00424173"/>
    <w:rsid w:val="00424B70"/>
    <w:rsid w:val="00425AEF"/>
    <w:rsid w:val="004303AF"/>
    <w:rsid w:val="00434181"/>
    <w:rsid w:val="00435ABD"/>
    <w:rsid w:val="00443963"/>
    <w:rsid w:val="00444EA9"/>
    <w:rsid w:val="00450BF4"/>
    <w:rsid w:val="0045183D"/>
    <w:rsid w:val="0045199F"/>
    <w:rsid w:val="004539FA"/>
    <w:rsid w:val="004547D8"/>
    <w:rsid w:val="004600FF"/>
    <w:rsid w:val="00464A65"/>
    <w:rsid w:val="00466135"/>
    <w:rsid w:val="004711E7"/>
    <w:rsid w:val="00471273"/>
    <w:rsid w:val="00474041"/>
    <w:rsid w:val="00476049"/>
    <w:rsid w:val="00485517"/>
    <w:rsid w:val="00485AC0"/>
    <w:rsid w:val="00491977"/>
    <w:rsid w:val="00492ACF"/>
    <w:rsid w:val="0049589A"/>
    <w:rsid w:val="0049721E"/>
    <w:rsid w:val="004A398A"/>
    <w:rsid w:val="004A4507"/>
    <w:rsid w:val="004B48BD"/>
    <w:rsid w:val="004B65BB"/>
    <w:rsid w:val="004C1E1E"/>
    <w:rsid w:val="004C3274"/>
    <w:rsid w:val="004C5009"/>
    <w:rsid w:val="004C595C"/>
    <w:rsid w:val="004C7B2D"/>
    <w:rsid w:val="004D11C2"/>
    <w:rsid w:val="004D1551"/>
    <w:rsid w:val="004D23C3"/>
    <w:rsid w:val="004D5EB4"/>
    <w:rsid w:val="004E35FE"/>
    <w:rsid w:val="004E67DD"/>
    <w:rsid w:val="004E6A4B"/>
    <w:rsid w:val="004F190E"/>
    <w:rsid w:val="004F6048"/>
    <w:rsid w:val="005027D6"/>
    <w:rsid w:val="005054D9"/>
    <w:rsid w:val="005128BC"/>
    <w:rsid w:val="005158E5"/>
    <w:rsid w:val="005301F7"/>
    <w:rsid w:val="00532B38"/>
    <w:rsid w:val="005331A7"/>
    <w:rsid w:val="0053403C"/>
    <w:rsid w:val="0053433F"/>
    <w:rsid w:val="00543B81"/>
    <w:rsid w:val="00553FF9"/>
    <w:rsid w:val="00554EEE"/>
    <w:rsid w:val="005635F3"/>
    <w:rsid w:val="005710C6"/>
    <w:rsid w:val="00575354"/>
    <w:rsid w:val="00587BFE"/>
    <w:rsid w:val="00587F8B"/>
    <w:rsid w:val="0059198D"/>
    <w:rsid w:val="00593A39"/>
    <w:rsid w:val="00595CB5"/>
    <w:rsid w:val="005965FE"/>
    <w:rsid w:val="005A43FF"/>
    <w:rsid w:val="005B1972"/>
    <w:rsid w:val="005B39F5"/>
    <w:rsid w:val="005B47D9"/>
    <w:rsid w:val="005B5EB7"/>
    <w:rsid w:val="005C17B4"/>
    <w:rsid w:val="005C7C02"/>
    <w:rsid w:val="005D18AB"/>
    <w:rsid w:val="005D410C"/>
    <w:rsid w:val="005D567D"/>
    <w:rsid w:val="005E01A7"/>
    <w:rsid w:val="005E362D"/>
    <w:rsid w:val="005E6F70"/>
    <w:rsid w:val="005F277E"/>
    <w:rsid w:val="005F2A0B"/>
    <w:rsid w:val="005F4BF7"/>
    <w:rsid w:val="005F7A83"/>
    <w:rsid w:val="0060092A"/>
    <w:rsid w:val="00601A3F"/>
    <w:rsid w:val="0060538B"/>
    <w:rsid w:val="006077B4"/>
    <w:rsid w:val="0061076D"/>
    <w:rsid w:val="006131FD"/>
    <w:rsid w:val="006220A7"/>
    <w:rsid w:val="0062776F"/>
    <w:rsid w:val="00631B54"/>
    <w:rsid w:val="00633293"/>
    <w:rsid w:val="00633AA3"/>
    <w:rsid w:val="00637C70"/>
    <w:rsid w:val="006607EB"/>
    <w:rsid w:val="006639D2"/>
    <w:rsid w:val="00663EB4"/>
    <w:rsid w:val="00666BC5"/>
    <w:rsid w:val="00666FFD"/>
    <w:rsid w:val="0067083C"/>
    <w:rsid w:val="00675AA8"/>
    <w:rsid w:val="00675C20"/>
    <w:rsid w:val="0068181D"/>
    <w:rsid w:val="00681EA2"/>
    <w:rsid w:val="00684846"/>
    <w:rsid w:val="00684FAF"/>
    <w:rsid w:val="0068669A"/>
    <w:rsid w:val="00687590"/>
    <w:rsid w:val="00692011"/>
    <w:rsid w:val="006922D8"/>
    <w:rsid w:val="00694072"/>
    <w:rsid w:val="00694A53"/>
    <w:rsid w:val="00694F76"/>
    <w:rsid w:val="00695343"/>
    <w:rsid w:val="0069661F"/>
    <w:rsid w:val="006A006A"/>
    <w:rsid w:val="006A1DB9"/>
    <w:rsid w:val="006A3CD7"/>
    <w:rsid w:val="006A62B7"/>
    <w:rsid w:val="006A6E96"/>
    <w:rsid w:val="006C062F"/>
    <w:rsid w:val="006C223F"/>
    <w:rsid w:val="006D1C71"/>
    <w:rsid w:val="006D300B"/>
    <w:rsid w:val="006D764B"/>
    <w:rsid w:val="006E2B29"/>
    <w:rsid w:val="006E2ECC"/>
    <w:rsid w:val="006E5E0C"/>
    <w:rsid w:val="006E63ED"/>
    <w:rsid w:val="006F16BB"/>
    <w:rsid w:val="006F48A7"/>
    <w:rsid w:val="006F79A3"/>
    <w:rsid w:val="0070059F"/>
    <w:rsid w:val="00700C4B"/>
    <w:rsid w:val="0071522F"/>
    <w:rsid w:val="007223FE"/>
    <w:rsid w:val="007264B3"/>
    <w:rsid w:val="0072735C"/>
    <w:rsid w:val="00727A39"/>
    <w:rsid w:val="007410A7"/>
    <w:rsid w:val="007429FB"/>
    <w:rsid w:val="007448BA"/>
    <w:rsid w:val="0074553F"/>
    <w:rsid w:val="00746235"/>
    <w:rsid w:val="00747BC6"/>
    <w:rsid w:val="00753642"/>
    <w:rsid w:val="007614A2"/>
    <w:rsid w:val="0076612A"/>
    <w:rsid w:val="00767213"/>
    <w:rsid w:val="00767FB0"/>
    <w:rsid w:val="00770663"/>
    <w:rsid w:val="00771571"/>
    <w:rsid w:val="00774259"/>
    <w:rsid w:val="007772A6"/>
    <w:rsid w:val="00781288"/>
    <w:rsid w:val="007857AA"/>
    <w:rsid w:val="0078600C"/>
    <w:rsid w:val="00792A13"/>
    <w:rsid w:val="00792CBE"/>
    <w:rsid w:val="007945E2"/>
    <w:rsid w:val="00797EE3"/>
    <w:rsid w:val="007A1E3A"/>
    <w:rsid w:val="007A2FEE"/>
    <w:rsid w:val="007B134C"/>
    <w:rsid w:val="007B441B"/>
    <w:rsid w:val="007C1694"/>
    <w:rsid w:val="007C4F3F"/>
    <w:rsid w:val="007D1F0B"/>
    <w:rsid w:val="007D324C"/>
    <w:rsid w:val="007E0F22"/>
    <w:rsid w:val="007E6237"/>
    <w:rsid w:val="007F2566"/>
    <w:rsid w:val="007F5144"/>
    <w:rsid w:val="007F5E2A"/>
    <w:rsid w:val="00802117"/>
    <w:rsid w:val="00805988"/>
    <w:rsid w:val="008106DF"/>
    <w:rsid w:val="00810DAE"/>
    <w:rsid w:val="00816A04"/>
    <w:rsid w:val="00816D7D"/>
    <w:rsid w:val="00820CF8"/>
    <w:rsid w:val="00821396"/>
    <w:rsid w:val="00826E67"/>
    <w:rsid w:val="00831D4F"/>
    <w:rsid w:val="00832754"/>
    <w:rsid w:val="008339FA"/>
    <w:rsid w:val="00834F8D"/>
    <w:rsid w:val="008454E0"/>
    <w:rsid w:val="00846A6A"/>
    <w:rsid w:val="00853B22"/>
    <w:rsid w:val="00854881"/>
    <w:rsid w:val="00854EAD"/>
    <w:rsid w:val="00870733"/>
    <w:rsid w:val="008717C4"/>
    <w:rsid w:val="008721CC"/>
    <w:rsid w:val="00876671"/>
    <w:rsid w:val="008828E3"/>
    <w:rsid w:val="00882F12"/>
    <w:rsid w:val="00884558"/>
    <w:rsid w:val="0088739E"/>
    <w:rsid w:val="008929B2"/>
    <w:rsid w:val="00893F37"/>
    <w:rsid w:val="008A070C"/>
    <w:rsid w:val="008A1949"/>
    <w:rsid w:val="008A7CB9"/>
    <w:rsid w:val="008B248F"/>
    <w:rsid w:val="008B360F"/>
    <w:rsid w:val="008C0190"/>
    <w:rsid w:val="008C04EE"/>
    <w:rsid w:val="008C43A5"/>
    <w:rsid w:val="008C44A3"/>
    <w:rsid w:val="008C51FA"/>
    <w:rsid w:val="008C5912"/>
    <w:rsid w:val="008C5921"/>
    <w:rsid w:val="008D1F0F"/>
    <w:rsid w:val="008D394B"/>
    <w:rsid w:val="008D3FE6"/>
    <w:rsid w:val="008D4650"/>
    <w:rsid w:val="008E0D9A"/>
    <w:rsid w:val="008E4746"/>
    <w:rsid w:val="008E5403"/>
    <w:rsid w:val="008E5A69"/>
    <w:rsid w:val="008E62F8"/>
    <w:rsid w:val="008F5315"/>
    <w:rsid w:val="008F540E"/>
    <w:rsid w:val="008F6651"/>
    <w:rsid w:val="008F7C26"/>
    <w:rsid w:val="009108BE"/>
    <w:rsid w:val="00910CDF"/>
    <w:rsid w:val="00910F84"/>
    <w:rsid w:val="009143AB"/>
    <w:rsid w:val="009143F3"/>
    <w:rsid w:val="009164B6"/>
    <w:rsid w:val="009209CC"/>
    <w:rsid w:val="00922AF8"/>
    <w:rsid w:val="009234C0"/>
    <w:rsid w:val="00933AF9"/>
    <w:rsid w:val="00933BAE"/>
    <w:rsid w:val="009344CD"/>
    <w:rsid w:val="009361F4"/>
    <w:rsid w:val="00937A84"/>
    <w:rsid w:val="0094139C"/>
    <w:rsid w:val="009501E0"/>
    <w:rsid w:val="0095515A"/>
    <w:rsid w:val="009554F7"/>
    <w:rsid w:val="009567EC"/>
    <w:rsid w:val="00983850"/>
    <w:rsid w:val="00986804"/>
    <w:rsid w:val="00987FF3"/>
    <w:rsid w:val="00992E91"/>
    <w:rsid w:val="00993DF5"/>
    <w:rsid w:val="00996C9E"/>
    <w:rsid w:val="009A51BD"/>
    <w:rsid w:val="009A7984"/>
    <w:rsid w:val="009C548E"/>
    <w:rsid w:val="009C765B"/>
    <w:rsid w:val="009D0D25"/>
    <w:rsid w:val="009D32E2"/>
    <w:rsid w:val="009D3F9C"/>
    <w:rsid w:val="009D70C0"/>
    <w:rsid w:val="009E3120"/>
    <w:rsid w:val="009E5FD3"/>
    <w:rsid w:val="009E725F"/>
    <w:rsid w:val="009F212D"/>
    <w:rsid w:val="009F48E6"/>
    <w:rsid w:val="009F5A8C"/>
    <w:rsid w:val="00A0090F"/>
    <w:rsid w:val="00A00F33"/>
    <w:rsid w:val="00A04530"/>
    <w:rsid w:val="00A04C5A"/>
    <w:rsid w:val="00A0545A"/>
    <w:rsid w:val="00A076F9"/>
    <w:rsid w:val="00A07773"/>
    <w:rsid w:val="00A10FE9"/>
    <w:rsid w:val="00A13F13"/>
    <w:rsid w:val="00A232BA"/>
    <w:rsid w:val="00A23E10"/>
    <w:rsid w:val="00A25BFE"/>
    <w:rsid w:val="00A3091E"/>
    <w:rsid w:val="00A362B4"/>
    <w:rsid w:val="00A36653"/>
    <w:rsid w:val="00A3758F"/>
    <w:rsid w:val="00A43F36"/>
    <w:rsid w:val="00A449D5"/>
    <w:rsid w:val="00A44F23"/>
    <w:rsid w:val="00A47375"/>
    <w:rsid w:val="00A5156E"/>
    <w:rsid w:val="00A53648"/>
    <w:rsid w:val="00A54745"/>
    <w:rsid w:val="00A54C15"/>
    <w:rsid w:val="00A56B98"/>
    <w:rsid w:val="00A608AE"/>
    <w:rsid w:val="00A65022"/>
    <w:rsid w:val="00A72645"/>
    <w:rsid w:val="00A761B1"/>
    <w:rsid w:val="00A77337"/>
    <w:rsid w:val="00A80342"/>
    <w:rsid w:val="00A81DBF"/>
    <w:rsid w:val="00A865CF"/>
    <w:rsid w:val="00A90E15"/>
    <w:rsid w:val="00A97E29"/>
    <w:rsid w:val="00AA1150"/>
    <w:rsid w:val="00AA19D7"/>
    <w:rsid w:val="00AB192D"/>
    <w:rsid w:val="00AB35A6"/>
    <w:rsid w:val="00AB3B60"/>
    <w:rsid w:val="00AB514D"/>
    <w:rsid w:val="00AC0369"/>
    <w:rsid w:val="00AC08F1"/>
    <w:rsid w:val="00AC3D37"/>
    <w:rsid w:val="00AC6FFB"/>
    <w:rsid w:val="00AD044E"/>
    <w:rsid w:val="00AF086D"/>
    <w:rsid w:val="00AF4D63"/>
    <w:rsid w:val="00B011E7"/>
    <w:rsid w:val="00B10BF1"/>
    <w:rsid w:val="00B11782"/>
    <w:rsid w:val="00B131D2"/>
    <w:rsid w:val="00B21B49"/>
    <w:rsid w:val="00B23BBB"/>
    <w:rsid w:val="00B41641"/>
    <w:rsid w:val="00B447C0"/>
    <w:rsid w:val="00B478E8"/>
    <w:rsid w:val="00B53962"/>
    <w:rsid w:val="00B60177"/>
    <w:rsid w:val="00B61D82"/>
    <w:rsid w:val="00B63AF8"/>
    <w:rsid w:val="00B648F9"/>
    <w:rsid w:val="00B65042"/>
    <w:rsid w:val="00B65A69"/>
    <w:rsid w:val="00B705ED"/>
    <w:rsid w:val="00B71F5A"/>
    <w:rsid w:val="00B73709"/>
    <w:rsid w:val="00B805AD"/>
    <w:rsid w:val="00B80989"/>
    <w:rsid w:val="00B84783"/>
    <w:rsid w:val="00B86588"/>
    <w:rsid w:val="00B86B43"/>
    <w:rsid w:val="00B86DC4"/>
    <w:rsid w:val="00B86E04"/>
    <w:rsid w:val="00B9426B"/>
    <w:rsid w:val="00BA280D"/>
    <w:rsid w:val="00BA3C3D"/>
    <w:rsid w:val="00BA413C"/>
    <w:rsid w:val="00BA5C71"/>
    <w:rsid w:val="00BA70F9"/>
    <w:rsid w:val="00BB03D3"/>
    <w:rsid w:val="00BB159A"/>
    <w:rsid w:val="00BC683C"/>
    <w:rsid w:val="00BC77BC"/>
    <w:rsid w:val="00BD4DEA"/>
    <w:rsid w:val="00BD56D7"/>
    <w:rsid w:val="00BE75E8"/>
    <w:rsid w:val="00BF1980"/>
    <w:rsid w:val="00BF198C"/>
    <w:rsid w:val="00C00325"/>
    <w:rsid w:val="00C012DB"/>
    <w:rsid w:val="00C03943"/>
    <w:rsid w:val="00C04783"/>
    <w:rsid w:val="00C05295"/>
    <w:rsid w:val="00C12438"/>
    <w:rsid w:val="00C14974"/>
    <w:rsid w:val="00C1510F"/>
    <w:rsid w:val="00C25D4E"/>
    <w:rsid w:val="00C36106"/>
    <w:rsid w:val="00C40984"/>
    <w:rsid w:val="00C43AC4"/>
    <w:rsid w:val="00C450E5"/>
    <w:rsid w:val="00C46134"/>
    <w:rsid w:val="00C46D4F"/>
    <w:rsid w:val="00C52199"/>
    <w:rsid w:val="00C5430B"/>
    <w:rsid w:val="00C54DB1"/>
    <w:rsid w:val="00C55AD9"/>
    <w:rsid w:val="00C62614"/>
    <w:rsid w:val="00C644B7"/>
    <w:rsid w:val="00C740B2"/>
    <w:rsid w:val="00C80D01"/>
    <w:rsid w:val="00C81803"/>
    <w:rsid w:val="00C93A9F"/>
    <w:rsid w:val="00C95470"/>
    <w:rsid w:val="00C9718E"/>
    <w:rsid w:val="00CA1EA6"/>
    <w:rsid w:val="00CA226E"/>
    <w:rsid w:val="00CB0BD5"/>
    <w:rsid w:val="00CB4B51"/>
    <w:rsid w:val="00CC23CF"/>
    <w:rsid w:val="00CC3467"/>
    <w:rsid w:val="00CC6783"/>
    <w:rsid w:val="00CC7C1F"/>
    <w:rsid w:val="00CE1306"/>
    <w:rsid w:val="00CE1395"/>
    <w:rsid w:val="00CE1761"/>
    <w:rsid w:val="00CE4991"/>
    <w:rsid w:val="00CE5046"/>
    <w:rsid w:val="00CF0014"/>
    <w:rsid w:val="00CF1607"/>
    <w:rsid w:val="00D02E39"/>
    <w:rsid w:val="00D03FE3"/>
    <w:rsid w:val="00D05E35"/>
    <w:rsid w:val="00D14368"/>
    <w:rsid w:val="00D146E1"/>
    <w:rsid w:val="00D1690F"/>
    <w:rsid w:val="00D17FCD"/>
    <w:rsid w:val="00D2283E"/>
    <w:rsid w:val="00D23B50"/>
    <w:rsid w:val="00D23F22"/>
    <w:rsid w:val="00D33227"/>
    <w:rsid w:val="00D40702"/>
    <w:rsid w:val="00D43571"/>
    <w:rsid w:val="00D4364D"/>
    <w:rsid w:val="00D522D3"/>
    <w:rsid w:val="00D61BAA"/>
    <w:rsid w:val="00D64389"/>
    <w:rsid w:val="00D65855"/>
    <w:rsid w:val="00D7536F"/>
    <w:rsid w:val="00D779C5"/>
    <w:rsid w:val="00D8010A"/>
    <w:rsid w:val="00D82294"/>
    <w:rsid w:val="00D83913"/>
    <w:rsid w:val="00D86117"/>
    <w:rsid w:val="00D914C3"/>
    <w:rsid w:val="00D92496"/>
    <w:rsid w:val="00D94299"/>
    <w:rsid w:val="00D96D8B"/>
    <w:rsid w:val="00DA1538"/>
    <w:rsid w:val="00DA6183"/>
    <w:rsid w:val="00DB2246"/>
    <w:rsid w:val="00DB34D4"/>
    <w:rsid w:val="00DB387A"/>
    <w:rsid w:val="00DC0B6D"/>
    <w:rsid w:val="00DD268D"/>
    <w:rsid w:val="00DD2714"/>
    <w:rsid w:val="00DD4A14"/>
    <w:rsid w:val="00DD5D8A"/>
    <w:rsid w:val="00DF5327"/>
    <w:rsid w:val="00E02CE4"/>
    <w:rsid w:val="00E02E7F"/>
    <w:rsid w:val="00E06C1B"/>
    <w:rsid w:val="00E132F9"/>
    <w:rsid w:val="00E1333C"/>
    <w:rsid w:val="00E15663"/>
    <w:rsid w:val="00E275AA"/>
    <w:rsid w:val="00E361E1"/>
    <w:rsid w:val="00E36C12"/>
    <w:rsid w:val="00E479AC"/>
    <w:rsid w:val="00E5064D"/>
    <w:rsid w:val="00E5449D"/>
    <w:rsid w:val="00E551B6"/>
    <w:rsid w:val="00E563CA"/>
    <w:rsid w:val="00E61AE9"/>
    <w:rsid w:val="00E63BE7"/>
    <w:rsid w:val="00E67814"/>
    <w:rsid w:val="00E752E4"/>
    <w:rsid w:val="00E80454"/>
    <w:rsid w:val="00E82AEB"/>
    <w:rsid w:val="00E85011"/>
    <w:rsid w:val="00E85FC2"/>
    <w:rsid w:val="00E95B89"/>
    <w:rsid w:val="00EA4FF8"/>
    <w:rsid w:val="00EA507D"/>
    <w:rsid w:val="00EB6B59"/>
    <w:rsid w:val="00EC0EA4"/>
    <w:rsid w:val="00EC232C"/>
    <w:rsid w:val="00EC7EB8"/>
    <w:rsid w:val="00ED065E"/>
    <w:rsid w:val="00ED4F63"/>
    <w:rsid w:val="00ED5476"/>
    <w:rsid w:val="00EE068D"/>
    <w:rsid w:val="00EE26DA"/>
    <w:rsid w:val="00EE3E0C"/>
    <w:rsid w:val="00EE7DFC"/>
    <w:rsid w:val="00EF4FBC"/>
    <w:rsid w:val="00F0656C"/>
    <w:rsid w:val="00F13169"/>
    <w:rsid w:val="00F20528"/>
    <w:rsid w:val="00F221CF"/>
    <w:rsid w:val="00F230D2"/>
    <w:rsid w:val="00F231B5"/>
    <w:rsid w:val="00F26A0A"/>
    <w:rsid w:val="00F30D39"/>
    <w:rsid w:val="00F35563"/>
    <w:rsid w:val="00F440DC"/>
    <w:rsid w:val="00F44159"/>
    <w:rsid w:val="00F459AB"/>
    <w:rsid w:val="00F4750A"/>
    <w:rsid w:val="00F551B3"/>
    <w:rsid w:val="00F55F26"/>
    <w:rsid w:val="00F62478"/>
    <w:rsid w:val="00F641CC"/>
    <w:rsid w:val="00F71155"/>
    <w:rsid w:val="00F7410E"/>
    <w:rsid w:val="00F77F34"/>
    <w:rsid w:val="00F8004B"/>
    <w:rsid w:val="00F909AC"/>
    <w:rsid w:val="00F93C14"/>
    <w:rsid w:val="00FB41BA"/>
    <w:rsid w:val="00FB4B07"/>
    <w:rsid w:val="00FB5FAC"/>
    <w:rsid w:val="00FC1570"/>
    <w:rsid w:val="00FC2921"/>
    <w:rsid w:val="00FC46F3"/>
    <w:rsid w:val="00FC4FBA"/>
    <w:rsid w:val="00FD2FF9"/>
    <w:rsid w:val="00FD62B7"/>
    <w:rsid w:val="00FE2FD1"/>
    <w:rsid w:val="00FE3E89"/>
    <w:rsid w:val="00FE59BE"/>
    <w:rsid w:val="00FE59D6"/>
    <w:rsid w:val="00FE5EBB"/>
    <w:rsid w:val="00FE7039"/>
    <w:rsid w:val="00FE7AE0"/>
    <w:rsid w:val="00FF2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BEF51"/>
  <w15:chartTrackingRefBased/>
  <w15:docId w15:val="{CA0667C6-508A-461A-94A1-5E2DF5172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B1A"/>
    <w:pPr>
      <w:spacing w:after="0" w:line="240" w:lineRule="auto"/>
    </w:pPr>
    <w:rPr>
      <w:rFonts w:cs="Calibri"/>
      <w:sz w:val="22"/>
      <w:szCs w:val="22"/>
    </w:rPr>
  </w:style>
  <w:style w:type="paragraph" w:styleId="Heading1">
    <w:name w:val="heading 1"/>
    <w:basedOn w:val="Normal"/>
    <w:next w:val="Normal"/>
    <w:link w:val="Heading1Char"/>
    <w:uiPriority w:val="9"/>
    <w:qFormat/>
    <w:rsid w:val="005D18AB"/>
    <w:pPr>
      <w:keepNext/>
      <w:keepLines/>
      <w:spacing w:line="247" w:lineRule="auto"/>
      <w:outlineLvl w:val="0"/>
    </w:pPr>
    <w:rPr>
      <w:rFonts w:eastAsiaTheme="majorEastAsia" w:cstheme="majorBidi"/>
      <w:b/>
      <w:sz w:val="32"/>
      <w:szCs w:val="32"/>
    </w:rPr>
  </w:style>
  <w:style w:type="paragraph" w:styleId="Heading2">
    <w:name w:val="heading 2"/>
    <w:basedOn w:val="Normal"/>
    <w:link w:val="Heading2Char"/>
    <w:uiPriority w:val="9"/>
    <w:qFormat/>
    <w:rsid w:val="005F4BF7"/>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5D18AB"/>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KJKRFPStyle">
    <w:name w:val="KJK RFP Style"/>
    <w:uiPriority w:val="99"/>
    <w:rsid w:val="005301F7"/>
    <w:pPr>
      <w:numPr>
        <w:numId w:val="1"/>
      </w:numPr>
    </w:pPr>
  </w:style>
  <w:style w:type="numbering" w:customStyle="1" w:styleId="PolicyStyle">
    <w:name w:val="Policy Style"/>
    <w:uiPriority w:val="99"/>
    <w:rsid w:val="00DD4A14"/>
    <w:pPr>
      <w:numPr>
        <w:numId w:val="2"/>
      </w:numPr>
    </w:pPr>
  </w:style>
  <w:style w:type="paragraph" w:customStyle="1" w:styleId="PolicyHeader">
    <w:name w:val="Policy Header"/>
    <w:link w:val="PolicyHeaderChar"/>
    <w:autoRedefine/>
    <w:qFormat/>
    <w:rsid w:val="00F77F34"/>
    <w:pPr>
      <w:spacing w:after="0" w:line="240" w:lineRule="auto"/>
    </w:pPr>
    <w:rPr>
      <w:rFonts w:ascii="Arial" w:hAnsi="Arial" w:cs="Arial"/>
      <w:b/>
      <w:sz w:val="22"/>
      <w:szCs w:val="16"/>
    </w:rPr>
  </w:style>
  <w:style w:type="character" w:customStyle="1" w:styleId="PolicyHeaderChar">
    <w:name w:val="Policy Header Char"/>
    <w:basedOn w:val="DefaultParagraphFont"/>
    <w:link w:val="PolicyHeader"/>
    <w:rsid w:val="00F77F34"/>
    <w:rPr>
      <w:rFonts w:ascii="Arial" w:hAnsi="Arial" w:cs="Arial"/>
      <w:b/>
      <w:sz w:val="22"/>
      <w:szCs w:val="16"/>
    </w:rPr>
  </w:style>
  <w:style w:type="numbering" w:customStyle="1" w:styleId="Lists">
    <w:name w:val="Lists"/>
    <w:uiPriority w:val="99"/>
    <w:rsid w:val="00F77F34"/>
    <w:pPr>
      <w:numPr>
        <w:numId w:val="4"/>
      </w:numPr>
    </w:pPr>
  </w:style>
  <w:style w:type="paragraph" w:styleId="ListParagraph">
    <w:name w:val="List Paragraph"/>
    <w:basedOn w:val="Normal"/>
    <w:uiPriority w:val="34"/>
    <w:qFormat/>
    <w:rsid w:val="00292B1A"/>
    <w:pPr>
      <w:ind w:left="720"/>
      <w:contextualSpacing/>
    </w:pPr>
  </w:style>
  <w:style w:type="table" w:styleId="TableGrid">
    <w:name w:val="Table Grid"/>
    <w:basedOn w:val="TableNormal"/>
    <w:uiPriority w:val="59"/>
    <w:rsid w:val="00292B1A"/>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22D3"/>
    <w:rPr>
      <w:rFonts w:asciiTheme="minorHAnsi" w:hAnsiTheme="minorHAnsi"/>
      <w:b/>
      <w:color w:val="0070C0"/>
      <w:u w:val="none"/>
    </w:rPr>
  </w:style>
  <w:style w:type="paragraph" w:customStyle="1" w:styleId="Default">
    <w:name w:val="Default"/>
    <w:rsid w:val="00292B1A"/>
    <w:pPr>
      <w:autoSpaceDE w:val="0"/>
      <w:autoSpaceDN w:val="0"/>
      <w:adjustRightInd w:val="0"/>
      <w:spacing w:after="0" w:line="240" w:lineRule="auto"/>
    </w:pPr>
    <w:rPr>
      <w:rFonts w:ascii="Arial" w:hAnsi="Arial" w:cs="Arial"/>
      <w:color w:val="000000"/>
    </w:rPr>
  </w:style>
  <w:style w:type="character" w:customStyle="1" w:styleId="inlinep">
    <w:name w:val="inlinep"/>
    <w:basedOn w:val="DefaultParagraphFont"/>
    <w:rsid w:val="00292B1A"/>
  </w:style>
  <w:style w:type="paragraph" w:styleId="Header">
    <w:name w:val="header"/>
    <w:basedOn w:val="Normal"/>
    <w:link w:val="HeaderChar"/>
    <w:uiPriority w:val="99"/>
    <w:unhideWhenUsed/>
    <w:rsid w:val="00464A65"/>
    <w:pPr>
      <w:tabs>
        <w:tab w:val="center" w:pos="4680"/>
        <w:tab w:val="right" w:pos="9360"/>
      </w:tabs>
    </w:pPr>
  </w:style>
  <w:style w:type="character" w:customStyle="1" w:styleId="HeaderChar">
    <w:name w:val="Header Char"/>
    <w:basedOn w:val="DefaultParagraphFont"/>
    <w:link w:val="Header"/>
    <w:uiPriority w:val="99"/>
    <w:rsid w:val="00464A65"/>
    <w:rPr>
      <w:rFonts w:cs="Calibri"/>
      <w:sz w:val="22"/>
      <w:szCs w:val="22"/>
    </w:rPr>
  </w:style>
  <w:style w:type="paragraph" w:styleId="Footer">
    <w:name w:val="footer"/>
    <w:basedOn w:val="Normal"/>
    <w:link w:val="FooterChar"/>
    <w:uiPriority w:val="99"/>
    <w:unhideWhenUsed/>
    <w:rsid w:val="00464A65"/>
    <w:pPr>
      <w:tabs>
        <w:tab w:val="center" w:pos="4680"/>
        <w:tab w:val="right" w:pos="9360"/>
      </w:tabs>
    </w:pPr>
  </w:style>
  <w:style w:type="character" w:customStyle="1" w:styleId="FooterChar">
    <w:name w:val="Footer Char"/>
    <w:basedOn w:val="DefaultParagraphFont"/>
    <w:link w:val="Footer"/>
    <w:uiPriority w:val="99"/>
    <w:rsid w:val="00464A65"/>
    <w:rPr>
      <w:rFonts w:cs="Calibri"/>
      <w:sz w:val="22"/>
      <w:szCs w:val="22"/>
    </w:rPr>
  </w:style>
  <w:style w:type="paragraph" w:styleId="BalloonText">
    <w:name w:val="Balloon Text"/>
    <w:basedOn w:val="Normal"/>
    <w:link w:val="BalloonTextChar"/>
    <w:uiPriority w:val="99"/>
    <w:semiHidden/>
    <w:unhideWhenUsed/>
    <w:rsid w:val="00B601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177"/>
    <w:rPr>
      <w:rFonts w:ascii="Segoe UI" w:hAnsi="Segoe UI" w:cs="Segoe UI"/>
      <w:sz w:val="18"/>
      <w:szCs w:val="18"/>
    </w:rPr>
  </w:style>
  <w:style w:type="character" w:styleId="Emphasis">
    <w:name w:val="Emphasis"/>
    <w:basedOn w:val="DefaultParagraphFont"/>
    <w:uiPriority w:val="20"/>
    <w:qFormat/>
    <w:rsid w:val="00BA413C"/>
    <w:rPr>
      <w:i/>
      <w:iCs/>
    </w:rPr>
  </w:style>
  <w:style w:type="paragraph" w:styleId="BodyText">
    <w:name w:val="Body Text"/>
    <w:basedOn w:val="Normal"/>
    <w:link w:val="BodyTextChar"/>
    <w:uiPriority w:val="99"/>
    <w:semiHidden/>
    <w:unhideWhenUsed/>
    <w:rsid w:val="00910CDF"/>
    <w:rPr>
      <w:rFonts w:ascii="Times New Roman" w:hAnsi="Times New Roman" w:cs="Times New Roman"/>
      <w:i/>
      <w:iCs/>
      <w:sz w:val="24"/>
      <w:szCs w:val="24"/>
    </w:rPr>
  </w:style>
  <w:style w:type="character" w:customStyle="1" w:styleId="BodyTextChar">
    <w:name w:val="Body Text Char"/>
    <w:basedOn w:val="DefaultParagraphFont"/>
    <w:link w:val="BodyText"/>
    <w:uiPriority w:val="99"/>
    <w:semiHidden/>
    <w:rsid w:val="00910CDF"/>
    <w:rPr>
      <w:rFonts w:ascii="Times New Roman" w:hAnsi="Times New Roman" w:cs="Times New Roman"/>
      <w:i/>
      <w:iCs/>
    </w:rPr>
  </w:style>
  <w:style w:type="character" w:styleId="FollowedHyperlink">
    <w:name w:val="FollowedHyperlink"/>
    <w:basedOn w:val="DefaultParagraphFont"/>
    <w:uiPriority w:val="99"/>
    <w:semiHidden/>
    <w:unhideWhenUsed/>
    <w:rsid w:val="005F4BF7"/>
    <w:rPr>
      <w:color w:val="954F72" w:themeColor="followedHyperlink"/>
      <w:u w:val="single"/>
    </w:rPr>
  </w:style>
  <w:style w:type="character" w:customStyle="1" w:styleId="Heading2Char">
    <w:name w:val="Heading 2 Char"/>
    <w:basedOn w:val="DefaultParagraphFont"/>
    <w:link w:val="Heading2"/>
    <w:uiPriority w:val="9"/>
    <w:rsid w:val="005F4BF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F4BF7"/>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13435"/>
    <w:rPr>
      <w:sz w:val="16"/>
      <w:szCs w:val="16"/>
    </w:rPr>
  </w:style>
  <w:style w:type="paragraph" w:styleId="CommentText">
    <w:name w:val="annotation text"/>
    <w:basedOn w:val="Normal"/>
    <w:link w:val="CommentTextChar"/>
    <w:uiPriority w:val="99"/>
    <w:unhideWhenUsed/>
    <w:rsid w:val="00213435"/>
    <w:rPr>
      <w:sz w:val="20"/>
      <w:szCs w:val="20"/>
    </w:rPr>
  </w:style>
  <w:style w:type="character" w:customStyle="1" w:styleId="CommentTextChar">
    <w:name w:val="Comment Text Char"/>
    <w:basedOn w:val="DefaultParagraphFont"/>
    <w:link w:val="CommentText"/>
    <w:uiPriority w:val="99"/>
    <w:rsid w:val="00213435"/>
    <w:rPr>
      <w:rFonts w:cs="Calibri"/>
      <w:sz w:val="20"/>
      <w:szCs w:val="20"/>
    </w:rPr>
  </w:style>
  <w:style w:type="paragraph" w:styleId="CommentSubject">
    <w:name w:val="annotation subject"/>
    <w:basedOn w:val="CommentText"/>
    <w:next w:val="CommentText"/>
    <w:link w:val="CommentSubjectChar"/>
    <w:uiPriority w:val="99"/>
    <w:semiHidden/>
    <w:unhideWhenUsed/>
    <w:rsid w:val="00213435"/>
    <w:rPr>
      <w:b/>
      <w:bCs/>
    </w:rPr>
  </w:style>
  <w:style w:type="character" w:customStyle="1" w:styleId="CommentSubjectChar">
    <w:name w:val="Comment Subject Char"/>
    <w:basedOn w:val="CommentTextChar"/>
    <w:link w:val="CommentSubject"/>
    <w:uiPriority w:val="99"/>
    <w:semiHidden/>
    <w:rsid w:val="00213435"/>
    <w:rPr>
      <w:rFonts w:cs="Calibri"/>
      <w:b/>
      <w:bCs/>
      <w:sz w:val="20"/>
      <w:szCs w:val="20"/>
    </w:rPr>
  </w:style>
  <w:style w:type="character" w:styleId="Strong">
    <w:name w:val="Strong"/>
    <w:basedOn w:val="DefaultParagraphFont"/>
    <w:uiPriority w:val="22"/>
    <w:qFormat/>
    <w:rsid w:val="0035630D"/>
    <w:rPr>
      <w:b/>
      <w:bCs/>
    </w:rPr>
  </w:style>
  <w:style w:type="character" w:customStyle="1" w:styleId="element-invisible">
    <w:name w:val="element-invisible"/>
    <w:basedOn w:val="DefaultParagraphFont"/>
    <w:rsid w:val="0035630D"/>
  </w:style>
  <w:style w:type="paragraph" w:styleId="Revision">
    <w:name w:val="Revision"/>
    <w:hidden/>
    <w:uiPriority w:val="99"/>
    <w:semiHidden/>
    <w:rsid w:val="003039DF"/>
    <w:pPr>
      <w:spacing w:after="0" w:line="240" w:lineRule="auto"/>
    </w:pPr>
    <w:rPr>
      <w:rFonts w:cs="Calibri"/>
      <w:sz w:val="22"/>
      <w:szCs w:val="22"/>
    </w:rPr>
  </w:style>
  <w:style w:type="character" w:styleId="UnresolvedMention">
    <w:name w:val="Unresolved Mention"/>
    <w:basedOn w:val="DefaultParagraphFont"/>
    <w:uiPriority w:val="99"/>
    <w:unhideWhenUsed/>
    <w:rsid w:val="00BC77BC"/>
    <w:rPr>
      <w:color w:val="605E5C"/>
      <w:shd w:val="clear" w:color="auto" w:fill="E1DFDD"/>
    </w:rPr>
  </w:style>
  <w:style w:type="character" w:styleId="Mention">
    <w:name w:val="Mention"/>
    <w:basedOn w:val="DefaultParagraphFont"/>
    <w:uiPriority w:val="99"/>
    <w:unhideWhenUsed/>
    <w:rsid w:val="00CF1607"/>
    <w:rPr>
      <w:color w:val="2B579A"/>
      <w:shd w:val="clear" w:color="auto" w:fill="E1DFDD"/>
    </w:rPr>
  </w:style>
  <w:style w:type="paragraph" w:styleId="FootnoteText">
    <w:name w:val="footnote text"/>
    <w:basedOn w:val="Normal"/>
    <w:link w:val="FootnoteTextChar"/>
    <w:uiPriority w:val="99"/>
    <w:semiHidden/>
    <w:unhideWhenUsed/>
    <w:rsid w:val="000D7409"/>
    <w:rPr>
      <w:sz w:val="20"/>
      <w:szCs w:val="20"/>
    </w:rPr>
  </w:style>
  <w:style w:type="character" w:customStyle="1" w:styleId="FootnoteTextChar">
    <w:name w:val="Footnote Text Char"/>
    <w:basedOn w:val="DefaultParagraphFont"/>
    <w:link w:val="FootnoteText"/>
    <w:uiPriority w:val="99"/>
    <w:semiHidden/>
    <w:rsid w:val="000D7409"/>
    <w:rPr>
      <w:rFonts w:cs="Calibri"/>
      <w:sz w:val="20"/>
      <w:szCs w:val="20"/>
    </w:rPr>
  </w:style>
  <w:style w:type="character" w:styleId="FootnoteReference">
    <w:name w:val="footnote reference"/>
    <w:basedOn w:val="DefaultParagraphFont"/>
    <w:uiPriority w:val="99"/>
    <w:semiHidden/>
    <w:unhideWhenUsed/>
    <w:rsid w:val="000D7409"/>
    <w:rPr>
      <w:vertAlign w:val="superscript"/>
    </w:rPr>
  </w:style>
  <w:style w:type="paragraph" w:styleId="EndnoteText">
    <w:name w:val="endnote text"/>
    <w:basedOn w:val="Normal"/>
    <w:link w:val="EndnoteTextChar"/>
    <w:uiPriority w:val="99"/>
    <w:semiHidden/>
    <w:unhideWhenUsed/>
    <w:rsid w:val="000D7409"/>
    <w:rPr>
      <w:sz w:val="20"/>
      <w:szCs w:val="20"/>
    </w:rPr>
  </w:style>
  <w:style w:type="character" w:customStyle="1" w:styleId="EndnoteTextChar">
    <w:name w:val="Endnote Text Char"/>
    <w:basedOn w:val="DefaultParagraphFont"/>
    <w:link w:val="EndnoteText"/>
    <w:uiPriority w:val="99"/>
    <w:semiHidden/>
    <w:rsid w:val="000D7409"/>
    <w:rPr>
      <w:rFonts w:cs="Calibri"/>
      <w:sz w:val="20"/>
      <w:szCs w:val="20"/>
    </w:rPr>
  </w:style>
  <w:style w:type="character" w:styleId="EndnoteReference">
    <w:name w:val="endnote reference"/>
    <w:basedOn w:val="DefaultParagraphFont"/>
    <w:uiPriority w:val="99"/>
    <w:semiHidden/>
    <w:unhideWhenUsed/>
    <w:rsid w:val="000D7409"/>
    <w:rPr>
      <w:vertAlign w:val="superscript"/>
    </w:rPr>
  </w:style>
  <w:style w:type="character" w:customStyle="1" w:styleId="Heading1Char">
    <w:name w:val="Heading 1 Char"/>
    <w:basedOn w:val="DefaultParagraphFont"/>
    <w:link w:val="Heading1"/>
    <w:uiPriority w:val="9"/>
    <w:rsid w:val="005D18AB"/>
    <w:rPr>
      <w:rFonts w:eastAsiaTheme="majorEastAsia" w:cstheme="majorBidi"/>
      <w:b/>
      <w:sz w:val="32"/>
      <w:szCs w:val="32"/>
    </w:rPr>
  </w:style>
  <w:style w:type="character" w:customStyle="1" w:styleId="Heading3Char">
    <w:name w:val="Heading 3 Char"/>
    <w:basedOn w:val="DefaultParagraphFont"/>
    <w:link w:val="Heading3"/>
    <w:uiPriority w:val="9"/>
    <w:rsid w:val="005D18AB"/>
    <w:rPr>
      <w:rFonts w:eastAsiaTheme="majorEastAsia" w:cstheme="majorBid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30350">
      <w:bodyDiv w:val="1"/>
      <w:marLeft w:val="0"/>
      <w:marRight w:val="0"/>
      <w:marTop w:val="0"/>
      <w:marBottom w:val="0"/>
      <w:divBdr>
        <w:top w:val="none" w:sz="0" w:space="0" w:color="auto"/>
        <w:left w:val="none" w:sz="0" w:space="0" w:color="auto"/>
        <w:bottom w:val="none" w:sz="0" w:space="0" w:color="auto"/>
        <w:right w:val="none" w:sz="0" w:space="0" w:color="auto"/>
      </w:divBdr>
    </w:div>
    <w:div w:id="427311201">
      <w:bodyDiv w:val="1"/>
      <w:marLeft w:val="0"/>
      <w:marRight w:val="0"/>
      <w:marTop w:val="0"/>
      <w:marBottom w:val="0"/>
      <w:divBdr>
        <w:top w:val="none" w:sz="0" w:space="0" w:color="auto"/>
        <w:left w:val="none" w:sz="0" w:space="0" w:color="auto"/>
        <w:bottom w:val="none" w:sz="0" w:space="0" w:color="auto"/>
        <w:right w:val="none" w:sz="0" w:space="0" w:color="auto"/>
      </w:divBdr>
    </w:div>
    <w:div w:id="576717828">
      <w:bodyDiv w:val="1"/>
      <w:marLeft w:val="0"/>
      <w:marRight w:val="0"/>
      <w:marTop w:val="0"/>
      <w:marBottom w:val="0"/>
      <w:divBdr>
        <w:top w:val="none" w:sz="0" w:space="0" w:color="auto"/>
        <w:left w:val="none" w:sz="0" w:space="0" w:color="auto"/>
        <w:bottom w:val="none" w:sz="0" w:space="0" w:color="auto"/>
        <w:right w:val="none" w:sz="0" w:space="0" w:color="auto"/>
      </w:divBdr>
    </w:div>
    <w:div w:id="744641967">
      <w:bodyDiv w:val="1"/>
      <w:marLeft w:val="0"/>
      <w:marRight w:val="0"/>
      <w:marTop w:val="0"/>
      <w:marBottom w:val="0"/>
      <w:divBdr>
        <w:top w:val="none" w:sz="0" w:space="0" w:color="auto"/>
        <w:left w:val="none" w:sz="0" w:space="0" w:color="auto"/>
        <w:bottom w:val="none" w:sz="0" w:space="0" w:color="auto"/>
        <w:right w:val="none" w:sz="0" w:space="0" w:color="auto"/>
      </w:divBdr>
    </w:div>
    <w:div w:id="901912227">
      <w:bodyDiv w:val="1"/>
      <w:marLeft w:val="0"/>
      <w:marRight w:val="0"/>
      <w:marTop w:val="0"/>
      <w:marBottom w:val="0"/>
      <w:divBdr>
        <w:top w:val="none" w:sz="0" w:space="0" w:color="auto"/>
        <w:left w:val="none" w:sz="0" w:space="0" w:color="auto"/>
        <w:bottom w:val="none" w:sz="0" w:space="0" w:color="auto"/>
        <w:right w:val="none" w:sz="0" w:space="0" w:color="auto"/>
      </w:divBdr>
    </w:div>
    <w:div w:id="933128414">
      <w:bodyDiv w:val="1"/>
      <w:marLeft w:val="0"/>
      <w:marRight w:val="0"/>
      <w:marTop w:val="0"/>
      <w:marBottom w:val="0"/>
      <w:divBdr>
        <w:top w:val="none" w:sz="0" w:space="0" w:color="auto"/>
        <w:left w:val="none" w:sz="0" w:space="0" w:color="auto"/>
        <w:bottom w:val="none" w:sz="0" w:space="0" w:color="auto"/>
        <w:right w:val="none" w:sz="0" w:space="0" w:color="auto"/>
      </w:divBdr>
    </w:div>
    <w:div w:id="1280070282">
      <w:bodyDiv w:val="1"/>
      <w:marLeft w:val="0"/>
      <w:marRight w:val="0"/>
      <w:marTop w:val="0"/>
      <w:marBottom w:val="0"/>
      <w:divBdr>
        <w:top w:val="none" w:sz="0" w:space="0" w:color="auto"/>
        <w:left w:val="none" w:sz="0" w:space="0" w:color="auto"/>
        <w:bottom w:val="none" w:sz="0" w:space="0" w:color="auto"/>
        <w:right w:val="none" w:sz="0" w:space="0" w:color="auto"/>
      </w:divBdr>
    </w:div>
    <w:div w:id="1365444689">
      <w:bodyDiv w:val="1"/>
      <w:marLeft w:val="0"/>
      <w:marRight w:val="0"/>
      <w:marTop w:val="0"/>
      <w:marBottom w:val="0"/>
      <w:divBdr>
        <w:top w:val="none" w:sz="0" w:space="0" w:color="auto"/>
        <w:left w:val="none" w:sz="0" w:space="0" w:color="auto"/>
        <w:bottom w:val="none" w:sz="0" w:space="0" w:color="auto"/>
        <w:right w:val="none" w:sz="0" w:space="0" w:color="auto"/>
      </w:divBdr>
    </w:div>
    <w:div w:id="1589801964">
      <w:bodyDiv w:val="1"/>
      <w:marLeft w:val="0"/>
      <w:marRight w:val="0"/>
      <w:marTop w:val="0"/>
      <w:marBottom w:val="0"/>
      <w:divBdr>
        <w:top w:val="none" w:sz="0" w:space="0" w:color="auto"/>
        <w:left w:val="none" w:sz="0" w:space="0" w:color="auto"/>
        <w:bottom w:val="none" w:sz="0" w:space="0" w:color="auto"/>
        <w:right w:val="none" w:sz="0" w:space="0" w:color="auto"/>
      </w:divBdr>
    </w:div>
    <w:div w:id="1631666470">
      <w:bodyDiv w:val="1"/>
      <w:marLeft w:val="0"/>
      <w:marRight w:val="0"/>
      <w:marTop w:val="0"/>
      <w:marBottom w:val="0"/>
      <w:divBdr>
        <w:top w:val="none" w:sz="0" w:space="0" w:color="auto"/>
        <w:left w:val="none" w:sz="0" w:space="0" w:color="auto"/>
        <w:bottom w:val="none" w:sz="0" w:space="0" w:color="auto"/>
        <w:right w:val="none" w:sz="0" w:space="0" w:color="auto"/>
      </w:divBdr>
    </w:div>
    <w:div w:id="1797530566">
      <w:bodyDiv w:val="1"/>
      <w:marLeft w:val="0"/>
      <w:marRight w:val="0"/>
      <w:marTop w:val="0"/>
      <w:marBottom w:val="0"/>
      <w:divBdr>
        <w:top w:val="none" w:sz="0" w:space="0" w:color="auto"/>
        <w:left w:val="none" w:sz="0" w:space="0" w:color="auto"/>
        <w:bottom w:val="none" w:sz="0" w:space="0" w:color="auto"/>
        <w:right w:val="none" w:sz="0" w:space="0" w:color="auto"/>
      </w:divBdr>
    </w:div>
    <w:div w:id="1878227795">
      <w:bodyDiv w:val="1"/>
      <w:marLeft w:val="0"/>
      <w:marRight w:val="0"/>
      <w:marTop w:val="0"/>
      <w:marBottom w:val="0"/>
      <w:divBdr>
        <w:top w:val="none" w:sz="0" w:space="0" w:color="auto"/>
        <w:left w:val="none" w:sz="0" w:space="0" w:color="auto"/>
        <w:bottom w:val="none" w:sz="0" w:space="0" w:color="auto"/>
        <w:right w:val="none" w:sz="0" w:space="0" w:color="auto"/>
      </w:divBdr>
    </w:div>
    <w:div w:id="1894848691">
      <w:bodyDiv w:val="1"/>
      <w:marLeft w:val="0"/>
      <w:marRight w:val="0"/>
      <w:marTop w:val="0"/>
      <w:marBottom w:val="0"/>
      <w:divBdr>
        <w:top w:val="none" w:sz="0" w:space="0" w:color="auto"/>
        <w:left w:val="none" w:sz="0" w:space="0" w:color="auto"/>
        <w:bottom w:val="none" w:sz="0" w:space="0" w:color="auto"/>
        <w:right w:val="none" w:sz="0" w:space="0" w:color="auto"/>
      </w:divBdr>
    </w:div>
    <w:div w:id="1895391426">
      <w:bodyDiv w:val="1"/>
      <w:marLeft w:val="0"/>
      <w:marRight w:val="0"/>
      <w:marTop w:val="0"/>
      <w:marBottom w:val="0"/>
      <w:divBdr>
        <w:top w:val="none" w:sz="0" w:space="0" w:color="auto"/>
        <w:left w:val="none" w:sz="0" w:space="0" w:color="auto"/>
        <w:bottom w:val="none" w:sz="0" w:space="0" w:color="auto"/>
        <w:right w:val="none" w:sz="0" w:space="0" w:color="auto"/>
      </w:divBdr>
    </w:div>
    <w:div w:id="214492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licies.fad.harvard.edu/pages/business_expense_reimbursements" TargetMode="External"/><Relationship Id="rId18" Type="http://schemas.openxmlformats.org/officeDocument/2006/relationships/hyperlink" Target="https://policies.fad.harvard.edu/pages/travel-0" TargetMode="External"/><Relationship Id="rId26" Type="http://schemas.openxmlformats.org/officeDocument/2006/relationships/hyperlink" Target="https://policies.fad.harvard.edu/pages/travel-0" TargetMode="External"/><Relationship Id="rId21" Type="http://schemas.openxmlformats.org/officeDocument/2006/relationships/hyperlink" Target="mailto:taxcompliance@harvard.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policies.fad.harvard.edu/" TargetMode="External"/><Relationship Id="rId17" Type="http://schemas.openxmlformats.org/officeDocument/2006/relationships/hyperlink" Target="https://oc.finance.harvard.edu/how-to/tax-services/moving-recruiting-and-related-expenses" TargetMode="External"/><Relationship Id="rId25" Type="http://schemas.openxmlformats.org/officeDocument/2006/relationships/hyperlink" Target="mailto:taxcompliance@harvar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olicies.fad.harvard.edu/pages/travel-0" TargetMode="External"/><Relationship Id="rId20" Type="http://schemas.openxmlformats.org/officeDocument/2006/relationships/hyperlink" Target="https://policies.fad.harvard.edu/pages/travel-0" TargetMode="External"/><Relationship Id="rId29" Type="http://schemas.openxmlformats.org/officeDocument/2006/relationships/hyperlink" Target="https://b2p.procurement.harvard.edu/ap-for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xcompliance@harvard.edu" TargetMode="External"/><Relationship Id="rId24" Type="http://schemas.openxmlformats.org/officeDocument/2006/relationships/hyperlink" Target="https://tax.oc.finance.harvard.edu/travel-and-other-business-related-expenses" TargetMode="External"/><Relationship Id="rId32" Type="http://schemas.openxmlformats.org/officeDocument/2006/relationships/hyperlink" Target="mailto:taxcompliance@harvard.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olicies.fad.harvard.edu/pages/travel-0" TargetMode="External"/><Relationship Id="rId23" Type="http://schemas.openxmlformats.org/officeDocument/2006/relationships/hyperlink" Target="https://policies.fad.harvard.edu/pages/travel-0" TargetMode="External"/><Relationship Id="rId28" Type="http://schemas.openxmlformats.org/officeDocument/2006/relationships/hyperlink" Target="https://policies.fad.harvard.edu/pages/business_expense_reimbursement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olicies.fad.harvard.edu/pages/travel-0" TargetMode="External"/><Relationship Id="rId31" Type="http://schemas.openxmlformats.org/officeDocument/2006/relationships/hyperlink" Target="https://policies.fad.harvard.edu/classification-employee-fellow-vs-nonemployee-fello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licies.fad.harvard.edu/classification-employee-fellow-vs-nonemployee-fellow" TargetMode="External"/><Relationship Id="rId22" Type="http://schemas.openxmlformats.org/officeDocument/2006/relationships/hyperlink" Target="mailto:taxcompliance@harvard.edu" TargetMode="External"/><Relationship Id="rId27" Type="http://schemas.openxmlformats.org/officeDocument/2006/relationships/hyperlink" Target="https://policies.fad.harvard.edu/pages/travel-0" TargetMode="External"/><Relationship Id="rId30" Type="http://schemas.openxmlformats.org/officeDocument/2006/relationships/hyperlink" Target="https://policies.fad.harvard.edu/fellowships-vs-reimbursements"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86F0393472634F88D5C9B8D3A48C7F" ma:contentTypeVersion="11" ma:contentTypeDescription="Create a new document." ma:contentTypeScope="" ma:versionID="fb717bc96dd3bef1aa7f4b0fb09eb985">
  <xsd:schema xmlns:xsd="http://www.w3.org/2001/XMLSchema" xmlns:xs="http://www.w3.org/2001/XMLSchema" xmlns:p="http://schemas.microsoft.com/office/2006/metadata/properties" xmlns:ns3="8893da6d-5c1b-47ad-97d7-17a4303ac036" xmlns:ns4="5c1549e8-8eef-4761-9cbe-0a06f36eb4fe" targetNamespace="http://schemas.microsoft.com/office/2006/metadata/properties" ma:root="true" ma:fieldsID="270ee81f110e326bd0011a87b4c9e799" ns3:_="" ns4:_="">
    <xsd:import namespace="8893da6d-5c1b-47ad-97d7-17a4303ac036"/>
    <xsd:import namespace="5c1549e8-8eef-4761-9cbe-0a06f36eb4f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EventHashCode" minOccurs="0"/>
                <xsd:element ref="ns4:MediaServiceGenerationTim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3da6d-5c1b-47ad-97d7-17a4303ac03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1549e8-8eef-4761-9cbe-0a06f36eb4f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A68C7F-8B44-4993-8BA3-A4D6B5A4A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3da6d-5c1b-47ad-97d7-17a4303ac036"/>
    <ds:schemaRef ds:uri="5c1549e8-8eef-4761-9cbe-0a06f36eb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333B61-D982-4EC5-B852-67915936CEC1}">
  <ds:schemaRefs>
    <ds:schemaRef ds:uri="http://schemas.microsoft.com/sharepoint/v3/contenttype/forms"/>
  </ds:schemaRefs>
</ds:datastoreItem>
</file>

<file path=customXml/itemProps3.xml><?xml version="1.0" encoding="utf-8"?>
<ds:datastoreItem xmlns:ds="http://schemas.openxmlformats.org/officeDocument/2006/customXml" ds:itemID="{1A59C0BA-7AA2-45BC-9A71-B9647B604282}">
  <ds:schemaRefs>
    <ds:schemaRef ds:uri="http://schemas.openxmlformats.org/officeDocument/2006/bibliography"/>
  </ds:schemaRefs>
</ds:datastoreItem>
</file>

<file path=customXml/itemProps4.xml><?xml version="1.0" encoding="utf-8"?>
<ds:datastoreItem xmlns:ds="http://schemas.openxmlformats.org/officeDocument/2006/customXml" ds:itemID="{40A589D0-7F59-4B2C-84AE-5A50CA4CFA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Pages>
  <Words>2486</Words>
  <Characters>14096</Characters>
  <Application>Microsoft Office Word</Application>
  <DocSecurity>8</DocSecurity>
  <Lines>343</Lines>
  <Paragraphs>144</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16438</CharactersWithSpaces>
  <SharedDoc>false</SharedDoc>
  <HLinks>
    <vt:vector size="138" baseType="variant">
      <vt:variant>
        <vt:i4>2031627</vt:i4>
      </vt:variant>
      <vt:variant>
        <vt:i4>57</vt:i4>
      </vt:variant>
      <vt:variant>
        <vt:i4>0</vt:i4>
      </vt:variant>
      <vt:variant>
        <vt:i4>5</vt:i4>
      </vt:variant>
      <vt:variant>
        <vt:lpwstr>mailto:tax_reporting@harvard.edu</vt:lpwstr>
      </vt:variant>
      <vt:variant>
        <vt:lpwstr/>
      </vt:variant>
      <vt:variant>
        <vt:i4>1835009</vt:i4>
      </vt:variant>
      <vt:variant>
        <vt:i4>54</vt:i4>
      </vt:variant>
      <vt:variant>
        <vt:i4>0</vt:i4>
      </vt:variant>
      <vt:variant>
        <vt:i4>5</vt:i4>
      </vt:variant>
      <vt:variant>
        <vt:lpwstr>https://policies.fad.harvard.edu/classification-employee-fellow-vs-nonemployee-fellow</vt:lpwstr>
      </vt:variant>
      <vt:variant>
        <vt:lpwstr/>
      </vt:variant>
      <vt:variant>
        <vt:i4>2687100</vt:i4>
      </vt:variant>
      <vt:variant>
        <vt:i4>51</vt:i4>
      </vt:variant>
      <vt:variant>
        <vt:i4>0</vt:i4>
      </vt:variant>
      <vt:variant>
        <vt:i4>5</vt:i4>
      </vt:variant>
      <vt:variant>
        <vt:lpwstr>https://policies.fad.harvard.edu/fellowships-vs-reimbursements</vt:lpwstr>
      </vt:variant>
      <vt:variant>
        <vt:lpwstr/>
      </vt:variant>
      <vt:variant>
        <vt:i4>5505037</vt:i4>
      </vt:variant>
      <vt:variant>
        <vt:i4>48</vt:i4>
      </vt:variant>
      <vt:variant>
        <vt:i4>0</vt:i4>
      </vt:variant>
      <vt:variant>
        <vt:i4>5</vt:i4>
      </vt:variant>
      <vt:variant>
        <vt:lpwstr>https://b2p.procurement.harvard.edu/ap-forms</vt:lpwstr>
      </vt:variant>
      <vt:variant>
        <vt:lpwstr/>
      </vt:variant>
      <vt:variant>
        <vt:i4>7864443</vt:i4>
      </vt:variant>
      <vt:variant>
        <vt:i4>45</vt:i4>
      </vt:variant>
      <vt:variant>
        <vt:i4>0</vt:i4>
      </vt:variant>
      <vt:variant>
        <vt:i4>5</vt:i4>
      </vt:variant>
      <vt:variant>
        <vt:lpwstr>https://policies.fad.harvard.edu/pages/business_expense_reimbursements</vt:lpwstr>
      </vt:variant>
      <vt:variant>
        <vt:lpwstr/>
      </vt:variant>
      <vt:variant>
        <vt:i4>3735672</vt:i4>
      </vt:variant>
      <vt:variant>
        <vt:i4>42</vt:i4>
      </vt:variant>
      <vt:variant>
        <vt:i4>0</vt:i4>
      </vt:variant>
      <vt:variant>
        <vt:i4>5</vt:i4>
      </vt:variant>
      <vt:variant>
        <vt:lpwstr>https://policies.fad.harvard.edu/pages/travel-0</vt:lpwstr>
      </vt:variant>
      <vt:variant>
        <vt:lpwstr/>
      </vt:variant>
      <vt:variant>
        <vt:i4>3735672</vt:i4>
      </vt:variant>
      <vt:variant>
        <vt:i4>39</vt:i4>
      </vt:variant>
      <vt:variant>
        <vt:i4>0</vt:i4>
      </vt:variant>
      <vt:variant>
        <vt:i4>5</vt:i4>
      </vt:variant>
      <vt:variant>
        <vt:lpwstr>https://policies.fad.harvard.edu/pages/travel-0</vt:lpwstr>
      </vt:variant>
      <vt:variant>
        <vt:lpwstr/>
      </vt:variant>
      <vt:variant>
        <vt:i4>2031627</vt:i4>
      </vt:variant>
      <vt:variant>
        <vt:i4>36</vt:i4>
      </vt:variant>
      <vt:variant>
        <vt:i4>0</vt:i4>
      </vt:variant>
      <vt:variant>
        <vt:i4>5</vt:i4>
      </vt:variant>
      <vt:variant>
        <vt:lpwstr>mailto:tax_reporting@harvard.edu</vt:lpwstr>
      </vt:variant>
      <vt:variant>
        <vt:lpwstr/>
      </vt:variant>
      <vt:variant>
        <vt:i4>3735672</vt:i4>
      </vt:variant>
      <vt:variant>
        <vt:i4>33</vt:i4>
      </vt:variant>
      <vt:variant>
        <vt:i4>0</vt:i4>
      </vt:variant>
      <vt:variant>
        <vt:i4>5</vt:i4>
      </vt:variant>
      <vt:variant>
        <vt:lpwstr>https://policies.fad.harvard.edu/pages/travel-0</vt:lpwstr>
      </vt:variant>
      <vt:variant>
        <vt:lpwstr/>
      </vt:variant>
      <vt:variant>
        <vt:i4>1835044</vt:i4>
      </vt:variant>
      <vt:variant>
        <vt:i4>30</vt:i4>
      </vt:variant>
      <vt:variant>
        <vt:i4>0</vt:i4>
      </vt:variant>
      <vt:variant>
        <vt:i4>5</vt:i4>
      </vt:variant>
      <vt:variant>
        <vt:lpwstr>mailto:taxcompliance@harvard.edu</vt:lpwstr>
      </vt:variant>
      <vt:variant>
        <vt:lpwstr/>
      </vt:variant>
      <vt:variant>
        <vt:i4>1835044</vt:i4>
      </vt:variant>
      <vt:variant>
        <vt:i4>27</vt:i4>
      </vt:variant>
      <vt:variant>
        <vt:i4>0</vt:i4>
      </vt:variant>
      <vt:variant>
        <vt:i4>5</vt:i4>
      </vt:variant>
      <vt:variant>
        <vt:lpwstr>mailto:taxcompliance@harvard.edu</vt:lpwstr>
      </vt:variant>
      <vt:variant>
        <vt:lpwstr/>
      </vt:variant>
      <vt:variant>
        <vt:i4>3735672</vt:i4>
      </vt:variant>
      <vt:variant>
        <vt:i4>24</vt:i4>
      </vt:variant>
      <vt:variant>
        <vt:i4>0</vt:i4>
      </vt:variant>
      <vt:variant>
        <vt:i4>5</vt:i4>
      </vt:variant>
      <vt:variant>
        <vt:lpwstr>https://policies.fad.harvard.edu/pages/travel-0</vt:lpwstr>
      </vt:variant>
      <vt:variant>
        <vt:lpwstr/>
      </vt:variant>
      <vt:variant>
        <vt:i4>3735672</vt:i4>
      </vt:variant>
      <vt:variant>
        <vt:i4>21</vt:i4>
      </vt:variant>
      <vt:variant>
        <vt:i4>0</vt:i4>
      </vt:variant>
      <vt:variant>
        <vt:i4>5</vt:i4>
      </vt:variant>
      <vt:variant>
        <vt:lpwstr>https://policies.fad.harvard.edu/pages/travel-0</vt:lpwstr>
      </vt:variant>
      <vt:variant>
        <vt:lpwstr/>
      </vt:variant>
      <vt:variant>
        <vt:i4>3735672</vt:i4>
      </vt:variant>
      <vt:variant>
        <vt:i4>18</vt:i4>
      </vt:variant>
      <vt:variant>
        <vt:i4>0</vt:i4>
      </vt:variant>
      <vt:variant>
        <vt:i4>5</vt:i4>
      </vt:variant>
      <vt:variant>
        <vt:lpwstr>https://policies.fad.harvard.edu/pages/travel-0</vt:lpwstr>
      </vt:variant>
      <vt:variant>
        <vt:lpwstr/>
      </vt:variant>
      <vt:variant>
        <vt:i4>3735672</vt:i4>
      </vt:variant>
      <vt:variant>
        <vt:i4>15</vt:i4>
      </vt:variant>
      <vt:variant>
        <vt:i4>0</vt:i4>
      </vt:variant>
      <vt:variant>
        <vt:i4>5</vt:i4>
      </vt:variant>
      <vt:variant>
        <vt:lpwstr>https://policies.fad.harvard.edu/pages/travel-0</vt:lpwstr>
      </vt:variant>
      <vt:variant>
        <vt:lpwstr/>
      </vt:variant>
      <vt:variant>
        <vt:i4>3735672</vt:i4>
      </vt:variant>
      <vt:variant>
        <vt:i4>12</vt:i4>
      </vt:variant>
      <vt:variant>
        <vt:i4>0</vt:i4>
      </vt:variant>
      <vt:variant>
        <vt:i4>5</vt:i4>
      </vt:variant>
      <vt:variant>
        <vt:lpwstr>https://policies.fad.harvard.edu/pages/travel-0</vt:lpwstr>
      </vt:variant>
      <vt:variant>
        <vt:lpwstr/>
      </vt:variant>
      <vt:variant>
        <vt:i4>1835009</vt:i4>
      </vt:variant>
      <vt:variant>
        <vt:i4>9</vt:i4>
      </vt:variant>
      <vt:variant>
        <vt:i4>0</vt:i4>
      </vt:variant>
      <vt:variant>
        <vt:i4>5</vt:i4>
      </vt:variant>
      <vt:variant>
        <vt:lpwstr>https://policies.fad.harvard.edu/classification-employee-fellow-vs-nonemployee-fellow</vt:lpwstr>
      </vt:variant>
      <vt:variant>
        <vt:lpwstr/>
      </vt:variant>
      <vt:variant>
        <vt:i4>7864443</vt:i4>
      </vt:variant>
      <vt:variant>
        <vt:i4>6</vt:i4>
      </vt:variant>
      <vt:variant>
        <vt:i4>0</vt:i4>
      </vt:variant>
      <vt:variant>
        <vt:i4>5</vt:i4>
      </vt:variant>
      <vt:variant>
        <vt:lpwstr>https://policies.fad.harvard.edu/pages/business_expense_reimbursements</vt:lpwstr>
      </vt:variant>
      <vt:variant>
        <vt:lpwstr/>
      </vt:variant>
      <vt:variant>
        <vt:i4>3735672</vt:i4>
      </vt:variant>
      <vt:variant>
        <vt:i4>3</vt:i4>
      </vt:variant>
      <vt:variant>
        <vt:i4>0</vt:i4>
      </vt:variant>
      <vt:variant>
        <vt:i4>5</vt:i4>
      </vt:variant>
      <vt:variant>
        <vt:lpwstr>https://policies.fad.harvard.edu/pages/travel-0</vt:lpwstr>
      </vt:variant>
      <vt:variant>
        <vt:lpwstr/>
      </vt:variant>
      <vt:variant>
        <vt:i4>2031627</vt:i4>
      </vt:variant>
      <vt:variant>
        <vt:i4>0</vt:i4>
      </vt:variant>
      <vt:variant>
        <vt:i4>0</vt:i4>
      </vt:variant>
      <vt:variant>
        <vt:i4>5</vt:i4>
      </vt:variant>
      <vt:variant>
        <vt:lpwstr>mailto:tax_reporting@harvard.edu</vt:lpwstr>
      </vt:variant>
      <vt:variant>
        <vt:lpwstr/>
      </vt:variant>
      <vt:variant>
        <vt:i4>7733345</vt:i4>
      </vt:variant>
      <vt:variant>
        <vt:i4>6</vt:i4>
      </vt:variant>
      <vt:variant>
        <vt:i4>0</vt:i4>
      </vt:variant>
      <vt:variant>
        <vt:i4>5</vt:i4>
      </vt:variant>
      <vt:variant>
        <vt:lpwstr>mailto:karen_kittredge@harvard.edu</vt:lpwstr>
      </vt:variant>
      <vt:variant>
        <vt:lpwstr/>
      </vt:variant>
      <vt:variant>
        <vt:i4>7733345</vt:i4>
      </vt:variant>
      <vt:variant>
        <vt:i4>3</vt:i4>
      </vt:variant>
      <vt:variant>
        <vt:i4>0</vt:i4>
      </vt:variant>
      <vt:variant>
        <vt:i4>5</vt:i4>
      </vt:variant>
      <vt:variant>
        <vt:lpwstr>mailto:karen_kittredge@harvard.edu</vt:lpwstr>
      </vt:variant>
      <vt:variant>
        <vt:lpwstr/>
      </vt:variant>
      <vt:variant>
        <vt:i4>7733345</vt:i4>
      </vt:variant>
      <vt:variant>
        <vt:i4>0</vt:i4>
      </vt:variant>
      <vt:variant>
        <vt:i4>0</vt:i4>
      </vt:variant>
      <vt:variant>
        <vt:i4>5</vt:i4>
      </vt:variant>
      <vt:variant>
        <vt:lpwstr>mailto:karen_kittredge@harvard.edu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Kittredge, Karen J.</dc:creator>
  <cp:keywords/>
  <dc:description/>
  <cp:lastModifiedBy>Kittredge, Karen J.</cp:lastModifiedBy>
  <cp:revision>35</cp:revision>
  <cp:lastPrinted>2019-08-21T17:00:00Z</cp:lastPrinted>
  <dcterms:created xsi:type="dcterms:W3CDTF">2023-08-02T18:10:00Z</dcterms:created>
  <dcterms:modified xsi:type="dcterms:W3CDTF">2023-08-03T12:55:00Z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0x0101001E86F0393472634F88D5C9B8D3A48C7F</vt:lpwstr>
  </property>
</Properties>
</file>